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51764489" w:rsidR="00F945DE" w:rsidRPr="00D84BEC" w:rsidRDefault="00F945DE" w:rsidP="00127DAA">
      <w:pPr>
        <w:pStyle w:val="Title"/>
      </w:pPr>
      <w:r w:rsidRPr="00D84BEC">
        <w:t xml:space="preserve">Writing </w:t>
      </w:r>
      <w:r w:rsidR="002531BD">
        <w:t>RAP</w:t>
      </w:r>
      <w:r w:rsidR="005A3D76">
        <w:t xml:space="preserve"> Questions</w:t>
      </w:r>
    </w:p>
    <w:p w14:paraId="7B8A6D89" w14:textId="16ABE6B4" w:rsidR="00F945DE" w:rsidRPr="00F945DE" w:rsidRDefault="00F945DE" w:rsidP="00127DAA">
      <w:pPr>
        <w:pStyle w:val="Subtitle"/>
      </w:pPr>
      <w:r>
        <w:t>Supporting resource for your homework</w:t>
      </w:r>
    </w:p>
    <w:p w14:paraId="1E6870A7" w14:textId="3A62E8CA" w:rsidR="009506FC" w:rsidRDefault="009506FC" w:rsidP="00127DAA">
      <w:pPr>
        <w:spacing w:line="240" w:lineRule="auto"/>
        <w:jc w:val="left"/>
      </w:pPr>
      <w:r w:rsidRPr="009506FC">
        <w:t>At the heart of the Readiness Assurance Process is a series of readings and a multiple-choice test</w:t>
      </w:r>
      <w:r w:rsidR="002B6CF1">
        <w:t>s that cover</w:t>
      </w:r>
      <w:bookmarkStart w:id="0" w:name="_GoBack"/>
      <w:bookmarkEnd w:id="0"/>
      <w:r w:rsidRPr="009506FC">
        <w:t xml:space="preserve"> the important fundamental knowledge that students will need to know to begin the </w:t>
      </w:r>
      <w:r w:rsidR="00B335F5">
        <w:t xml:space="preserve">4S </w:t>
      </w:r>
      <w:r w:rsidRPr="009506FC">
        <w:t xml:space="preserve">application activities. </w:t>
      </w:r>
    </w:p>
    <w:p w14:paraId="4A8D18C8" w14:textId="77777777" w:rsidR="002531BD" w:rsidRDefault="002531BD" w:rsidP="00127DAA">
      <w:pPr>
        <w:spacing w:line="240" w:lineRule="auto"/>
        <w:rPr>
          <w:sz w:val="20"/>
          <w:szCs w:val="20"/>
        </w:rPr>
      </w:pPr>
    </w:p>
    <w:p w14:paraId="700F8961" w14:textId="77E68E10" w:rsidR="002531BD" w:rsidRDefault="002531BD" w:rsidP="00127DAA">
      <w:pPr>
        <w:spacing w:line="240" w:lineRule="auto"/>
        <w:jc w:val="left"/>
        <w:rPr>
          <w:rStyle w:val="IntenseReference"/>
        </w:rPr>
      </w:pPr>
      <w:r w:rsidRPr="002531BD">
        <w:rPr>
          <w:rStyle w:val="IntenseReference"/>
        </w:rPr>
        <w:t xml:space="preserve">Getting ready to write </w:t>
      </w:r>
      <w:r>
        <w:rPr>
          <w:rStyle w:val="IntenseReference"/>
        </w:rPr>
        <w:t xml:space="preserve">RAP </w:t>
      </w:r>
      <w:r w:rsidRPr="002531BD">
        <w:rPr>
          <w:rStyle w:val="IntenseReference"/>
        </w:rPr>
        <w:t>questions</w:t>
      </w:r>
      <w:r>
        <w:rPr>
          <w:rStyle w:val="IntenseReference"/>
        </w:rPr>
        <w:br/>
      </w:r>
    </w:p>
    <w:p w14:paraId="6E1CA0CA" w14:textId="6CE598D7" w:rsidR="002531BD" w:rsidRPr="002531BD" w:rsidRDefault="002531BD" w:rsidP="00127DAA">
      <w:pPr>
        <w:spacing w:line="240" w:lineRule="auto"/>
        <w:jc w:val="left"/>
        <w:rPr>
          <w:b/>
          <w:bCs/>
          <w:smallCaps/>
          <w:color w:val="C0504D" w:themeColor="accent2"/>
          <w:spacing w:val="5"/>
          <w:u w:val="single"/>
        </w:rPr>
      </w:pPr>
      <w:r>
        <w:t>Once you understand what</w:t>
      </w:r>
      <w:r w:rsidRPr="00237ACC">
        <w:t xml:space="preserve"> the culminating </w:t>
      </w:r>
      <w:r>
        <w:t xml:space="preserve">student </w:t>
      </w:r>
      <w:r w:rsidRPr="00237ACC">
        <w:t>performance</w:t>
      </w:r>
      <w:r>
        <w:t xml:space="preserve"> will be,</w:t>
      </w:r>
      <w:r w:rsidRPr="00237ACC">
        <w:t xml:space="preserve"> </w:t>
      </w:r>
      <w:r>
        <w:t xml:space="preserve">you turn your attention to </w:t>
      </w:r>
      <w:r w:rsidRPr="00237ACC">
        <w:t>preparing student for</w:t>
      </w:r>
      <w:r>
        <w:t xml:space="preserve"> first engagement with the</w:t>
      </w:r>
      <w:r w:rsidR="00B335F5">
        <w:t xml:space="preserve"> content (reading and RAP) and then the </w:t>
      </w:r>
      <w:r>
        <w:t xml:space="preserve">progression of </w:t>
      </w:r>
      <w:r w:rsidR="00B335F5">
        <w:t>4S</w:t>
      </w:r>
      <w:r>
        <w:t xml:space="preserve"> activities that leads to that culminating 4S performance. </w:t>
      </w:r>
    </w:p>
    <w:p w14:paraId="5B5145F7" w14:textId="77777777" w:rsidR="002531BD" w:rsidRDefault="002531BD" w:rsidP="00127DAA">
      <w:pPr>
        <w:spacing w:line="240" w:lineRule="auto"/>
        <w:rPr>
          <w:b/>
        </w:rPr>
      </w:pPr>
    </w:p>
    <w:p w14:paraId="57F5F3D0" w14:textId="698F420E" w:rsidR="002531BD" w:rsidRDefault="002531BD" w:rsidP="00127DAA">
      <w:pPr>
        <w:spacing w:line="240" w:lineRule="auto"/>
      </w:pPr>
      <w:r w:rsidRPr="002531BD">
        <w:rPr>
          <w:b/>
          <w:u w:val="single"/>
        </w:rPr>
        <w:t>I</w:t>
      </w:r>
      <w:r>
        <w:rPr>
          <w:u w:val="single"/>
        </w:rPr>
        <w:t xml:space="preserve">dentify </w:t>
      </w:r>
      <w:r w:rsidRPr="002531BD">
        <w:rPr>
          <w:u w:val="single"/>
        </w:rPr>
        <w:t>specific knowledge</w:t>
      </w:r>
      <w:r w:rsidRPr="00E247D8">
        <w:t xml:space="preserve"> </w:t>
      </w:r>
      <w:r>
        <w:t xml:space="preserve">the </w:t>
      </w:r>
      <w:r w:rsidRPr="00E247D8">
        <w:t xml:space="preserve">students will need to </w:t>
      </w:r>
      <w:r w:rsidR="00B335F5">
        <w:t>begin effectively engaging</w:t>
      </w:r>
      <w:r>
        <w:t xml:space="preserve"> with </w:t>
      </w:r>
      <w:r w:rsidRPr="00E247D8">
        <w:t xml:space="preserve">the </w:t>
      </w:r>
      <w:r>
        <w:t xml:space="preserve">4S activities. This is not everything they need to solve every activity but what they require as an entry point to the problem-solving conversation. </w:t>
      </w:r>
      <w:r w:rsidRPr="00E247D8">
        <w:t xml:space="preserve">You do this by mapping back from the </w:t>
      </w:r>
      <w:r>
        <w:t xml:space="preserve">4S application activity </w:t>
      </w:r>
      <w:r w:rsidRPr="00E247D8">
        <w:t xml:space="preserve">to important foundational knowledge that the students will need to be successful. When you are clear on the </w:t>
      </w:r>
      <w:r w:rsidR="00B335F5">
        <w:t xml:space="preserve">basic </w:t>
      </w:r>
      <w:r w:rsidRPr="00E247D8">
        <w:t xml:space="preserve">knowledge students need to know, you </w:t>
      </w:r>
      <w:r>
        <w:t xml:space="preserve">are then ready to </w:t>
      </w:r>
      <w:r w:rsidRPr="002531BD">
        <w:t>select appropriat</w:t>
      </w:r>
      <w:r w:rsidR="00B335F5">
        <w:t>e student preparation materials and construct RAP questions.</w:t>
      </w:r>
    </w:p>
    <w:p w14:paraId="11975FA9" w14:textId="77777777" w:rsidR="002531BD" w:rsidRDefault="002531BD" w:rsidP="00127DAA">
      <w:pPr>
        <w:spacing w:line="240" w:lineRule="auto"/>
      </w:pPr>
    </w:p>
    <w:p w14:paraId="773D9BDA" w14:textId="674DFF38" w:rsidR="002531BD" w:rsidRDefault="002531BD" w:rsidP="00127DAA">
      <w:pPr>
        <w:spacing w:line="240" w:lineRule="auto"/>
      </w:pPr>
      <w:r w:rsidRPr="002531BD">
        <w:rPr>
          <w:u w:val="single"/>
        </w:rPr>
        <w:t>S</w:t>
      </w:r>
      <w:r w:rsidRPr="00D76024">
        <w:rPr>
          <w:u w:val="single"/>
        </w:rPr>
        <w:t xml:space="preserve">elect appropriate </w:t>
      </w:r>
      <w:r>
        <w:rPr>
          <w:u w:val="single"/>
        </w:rPr>
        <w:t xml:space="preserve">student </w:t>
      </w:r>
      <w:r w:rsidRPr="00D76024">
        <w:rPr>
          <w:u w:val="single"/>
        </w:rPr>
        <w:t>preparation materials</w:t>
      </w:r>
      <w:r>
        <w:t xml:space="preserve">. There is an iterative loop as you </w:t>
      </w:r>
      <w:r w:rsidR="00B335F5">
        <w:t>select/define/</w:t>
      </w:r>
      <w:r>
        <w:t xml:space="preserve">refine the concepts to be </w:t>
      </w:r>
      <w:r w:rsidR="00B335F5">
        <w:t xml:space="preserve">initially </w:t>
      </w:r>
      <w:r>
        <w:t xml:space="preserve">tested, and then select and refine the preparation materials. </w:t>
      </w:r>
      <w:r w:rsidR="00B335F5">
        <w:t>For preparation materials, w</w:t>
      </w:r>
      <w:r>
        <w:t>e most often use readings, but videos, lecture recordings, or narrated PowerPoint’s can work</w:t>
      </w:r>
      <w:r w:rsidR="00B335F5">
        <w:t xml:space="preserve"> well</w:t>
      </w:r>
      <w:r>
        <w:t>. Over the years we have discovered that less is more with readings. The amount of readings that students will tolerate depends on the particular discipline and institutional context. Our readings are closer to 25 pages for 2 weeks, which is down from our original 75 pages for two weeks. We found that students were spending a short, fixed amount of time completing readings without regard for complexity and length of readings. Remember the Readiness Assurance Process is not trying to be comprehensive. It is just giving students an entry point to the problem-solving conversation.</w:t>
      </w:r>
    </w:p>
    <w:p w14:paraId="1190E2A6" w14:textId="77777777" w:rsidR="002531BD" w:rsidRDefault="002531BD" w:rsidP="00127DAA">
      <w:pPr>
        <w:spacing w:line="240" w:lineRule="auto"/>
      </w:pPr>
    </w:p>
    <w:p w14:paraId="7E53B5DF" w14:textId="45FBCD77" w:rsidR="002531BD" w:rsidRDefault="002531BD" w:rsidP="00127DAA">
      <w:pPr>
        <w:spacing w:line="240" w:lineRule="auto"/>
      </w:pPr>
      <w:r>
        <w:t>One aside – when teachers are first introduced to the idea of the flipped classroom, they are often concerned on how to cram their 1 hour lectures into a 10-12 minute videos. This is the wron</w:t>
      </w:r>
      <w:r w:rsidR="00B335F5">
        <w:t>g way to look at it. The</w:t>
      </w:r>
      <w:r>
        <w:t xml:space="preserve"> preparation materials are just to get students started. It is not all that students learn in a module, so </w:t>
      </w:r>
      <w:r w:rsidR="00B335F5">
        <w:t xml:space="preserve">you need to create a selective subset of your </w:t>
      </w:r>
      <w:r>
        <w:t>1 hour of lecture content</w:t>
      </w:r>
      <w:r w:rsidR="00B335F5">
        <w:t xml:space="preserve"> – focusing of high level themes and must know basic concepts and definitions</w:t>
      </w:r>
      <w:r>
        <w:t xml:space="preserve">. Students will </w:t>
      </w:r>
      <w:r w:rsidR="00B335F5">
        <w:t xml:space="preserve">be motivated to </w:t>
      </w:r>
      <w:r>
        <w:t xml:space="preserve">learn the additional content </w:t>
      </w:r>
      <w:r w:rsidR="00B335F5">
        <w:t xml:space="preserve">to solve </w:t>
      </w:r>
      <w:r>
        <w:t xml:space="preserve">the </w:t>
      </w:r>
      <w:r w:rsidR="00B335F5">
        <w:t xml:space="preserve">exciting </w:t>
      </w:r>
      <w:r>
        <w:t>4S team tasks.</w:t>
      </w:r>
    </w:p>
    <w:p w14:paraId="6C75155C" w14:textId="77777777" w:rsidR="002531BD" w:rsidRPr="00E247D8" w:rsidRDefault="002531BD" w:rsidP="00127DAA">
      <w:pPr>
        <w:spacing w:line="240" w:lineRule="auto"/>
      </w:pPr>
    </w:p>
    <w:p w14:paraId="17A0592E" w14:textId="16EE8F4D" w:rsidR="002531BD" w:rsidRDefault="002531BD" w:rsidP="00127DAA">
      <w:pPr>
        <w:spacing w:line="240" w:lineRule="auto"/>
      </w:pPr>
      <w:r w:rsidRPr="002531BD">
        <w:t>D</w:t>
      </w:r>
      <w:r w:rsidRPr="00E247D8">
        <w:t xml:space="preserve">evelop a </w:t>
      </w:r>
      <w:r w:rsidRPr="00575754">
        <w:rPr>
          <w:u w:val="single"/>
        </w:rPr>
        <w:t>list of important concepts and ideas to test</w:t>
      </w:r>
      <w:r>
        <w:t xml:space="preserve"> with</w:t>
      </w:r>
      <w:r w:rsidRPr="00E247D8">
        <w:t xml:space="preserve"> your </w:t>
      </w:r>
      <w:r>
        <w:t xml:space="preserve">RAP </w:t>
      </w:r>
      <w:r w:rsidRPr="00E247D8">
        <w:t>question</w:t>
      </w:r>
      <w:r>
        <w:t>s</w:t>
      </w:r>
      <w:r w:rsidRPr="00E247D8">
        <w:t xml:space="preserve">. The RAP question coverage doesn’t need to be comprehensive, you are </w:t>
      </w:r>
      <w:r>
        <w:t>providing</w:t>
      </w:r>
      <w:r w:rsidRPr="00E247D8">
        <w:t xml:space="preserve"> students </w:t>
      </w:r>
      <w:r>
        <w:t xml:space="preserve">the </w:t>
      </w:r>
      <w:r w:rsidRPr="00E247D8">
        <w:t xml:space="preserve">foundational knowledge and understanding they need to begin problem-solving. </w:t>
      </w:r>
    </w:p>
    <w:p w14:paraId="2BDCEE16" w14:textId="77777777" w:rsidR="00127DAA" w:rsidRDefault="00127DAA">
      <w:pPr>
        <w:spacing w:line="276" w:lineRule="auto"/>
        <w:jc w:val="left"/>
        <w:rPr>
          <w:rStyle w:val="IntenseReference"/>
        </w:rPr>
      </w:pPr>
      <w:r>
        <w:rPr>
          <w:rStyle w:val="IntenseReference"/>
        </w:rPr>
        <w:br w:type="page"/>
      </w:r>
    </w:p>
    <w:p w14:paraId="3B05434F" w14:textId="14556A55" w:rsidR="005A3D76" w:rsidRPr="005A3D76" w:rsidRDefault="005A3D76" w:rsidP="00127DAA">
      <w:pPr>
        <w:spacing w:before="100" w:beforeAutospacing="1" w:after="100" w:afterAutospacing="1" w:line="240" w:lineRule="auto"/>
        <w:jc w:val="left"/>
        <w:rPr>
          <w:rStyle w:val="IntenseReference"/>
        </w:rPr>
      </w:pPr>
      <w:r w:rsidRPr="005A3D76">
        <w:rPr>
          <w:rStyle w:val="IntenseReference"/>
        </w:rPr>
        <w:lastRenderedPageBreak/>
        <w:t>Writing</w:t>
      </w:r>
      <w:r w:rsidR="002531BD">
        <w:rPr>
          <w:rStyle w:val="IntenseReference"/>
        </w:rPr>
        <w:t xml:space="preserve"> RAP</w:t>
      </w:r>
      <w:r w:rsidRPr="005A3D76">
        <w:rPr>
          <w:rStyle w:val="IntenseReference"/>
        </w:rPr>
        <w:t xml:space="preserve"> Questions</w:t>
      </w:r>
    </w:p>
    <w:p w14:paraId="31009002" w14:textId="466456E2" w:rsidR="009506FC" w:rsidRDefault="005A3D76" w:rsidP="00B335F5">
      <w:pPr>
        <w:spacing w:line="300" w:lineRule="exact"/>
        <w:jc w:val="left"/>
      </w:pPr>
      <w:r w:rsidRPr="00D84BEC">
        <w:t>Multiple-Choice questions have two main parts: the question stem or leader, and the options (which include a correct answer). When beginning to construct a multiple-choice question, write the stem of the question first. A well-constructed stem is a stand-alone question that could be answered without examining the options. The wording of the stem and the verbs it contains determines the overall difficulty of the question.</w:t>
      </w:r>
      <w:r w:rsidR="00E25988">
        <w:br/>
      </w:r>
    </w:p>
    <w:p w14:paraId="200E0BD2" w14:textId="74B61A57" w:rsidR="00E25988" w:rsidRPr="00E25988" w:rsidRDefault="00E25988" w:rsidP="00B335F5">
      <w:pPr>
        <w:spacing w:line="300" w:lineRule="exact"/>
        <w:jc w:val="left"/>
      </w:pPr>
      <w:r w:rsidRPr="00561073">
        <w:t>Mu</w:t>
      </w:r>
      <w:r>
        <w:t>l</w:t>
      </w:r>
      <w:r w:rsidRPr="00561073">
        <w:t>tiple</w:t>
      </w:r>
      <w:r>
        <w:t>-C</w:t>
      </w:r>
      <w:r w:rsidRPr="00561073">
        <w:t xml:space="preserve">hoice </w:t>
      </w:r>
      <w:r>
        <w:t>Q</w:t>
      </w:r>
      <w:r w:rsidRPr="00561073">
        <w:t xml:space="preserve">uestions have a reputation for only testing lower level skills like knowledge and recall. </w:t>
      </w:r>
      <w:r w:rsidR="00B335F5">
        <w:t>In</w:t>
      </w:r>
      <w:r w:rsidRPr="00561073">
        <w:t xml:space="preserve"> the question example</w:t>
      </w:r>
      <w:r w:rsidR="00B335F5">
        <w:t xml:space="preserve"> below</w:t>
      </w:r>
      <w:r w:rsidRPr="00561073">
        <w:t xml:space="preserve"> students are asked </w:t>
      </w:r>
      <w:r w:rsidR="00B335F5">
        <w:t xml:space="preserve">the difficult task - </w:t>
      </w:r>
      <w:r w:rsidRPr="00B335F5">
        <w:rPr>
          <w:i/>
        </w:rPr>
        <w:t>to select the citation that is most accurate</w:t>
      </w:r>
      <w:r w:rsidRPr="00561073">
        <w:t>. All citations</w:t>
      </w:r>
      <w:r>
        <w:t xml:space="preserve"> have errors and the students a</w:t>
      </w:r>
      <w:r w:rsidRPr="00561073">
        <w:t>re</w:t>
      </w:r>
      <w:r>
        <w:t xml:space="preserve"> really</w:t>
      </w:r>
      <w:r w:rsidRPr="00561073">
        <w:t xml:space="preserve"> </w:t>
      </w:r>
      <w:r>
        <w:t xml:space="preserve">being </w:t>
      </w:r>
      <w:r w:rsidRPr="00561073">
        <w:t xml:space="preserve">asked to “hypothesize” which errors will have </w:t>
      </w:r>
      <w:r>
        <w:t xml:space="preserve">the greatest </w:t>
      </w:r>
      <w:r w:rsidRPr="00561073">
        <w:t>impact on the citation</w:t>
      </w:r>
      <w:r>
        <w:t>s</w:t>
      </w:r>
      <w:r w:rsidRPr="00561073">
        <w:t xml:space="preserve"> effectiveness</w:t>
      </w:r>
      <w:r>
        <w:t xml:space="preserve">.  </w:t>
      </w:r>
      <w:r w:rsidRPr="00D02E75">
        <w:t>This question is testing at a very high “Blooms” level. Writing questions at higher “Blooms” level is difficult, but NOT impossible.</w:t>
      </w:r>
      <w:r>
        <w:br/>
      </w:r>
    </w:p>
    <w:p w14:paraId="69D481B8" w14:textId="1725F169" w:rsidR="002531BD" w:rsidRDefault="00E25988" w:rsidP="00B335F5">
      <w:pPr>
        <w:tabs>
          <w:tab w:val="left" w:pos="6946"/>
          <w:tab w:val="left" w:pos="7088"/>
          <w:tab w:val="left" w:pos="7797"/>
        </w:tabs>
        <w:spacing w:line="240" w:lineRule="auto"/>
        <w:ind w:left="709" w:right="1836"/>
      </w:pPr>
      <w:r>
        <w:rPr>
          <w:noProof/>
          <w:lang w:val="en-US"/>
        </w:rPr>
        <mc:AlternateContent>
          <mc:Choice Requires="wps">
            <w:drawing>
              <wp:anchor distT="0" distB="0" distL="114300" distR="114300" simplePos="0" relativeHeight="251667456" behindDoc="0" locked="0" layoutInCell="1" allowOverlap="1" wp14:anchorId="45EBCC48" wp14:editId="7EBBC03E">
                <wp:simplePos x="0" y="0"/>
                <wp:positionH relativeFrom="column">
                  <wp:posOffset>228600</wp:posOffset>
                </wp:positionH>
                <wp:positionV relativeFrom="paragraph">
                  <wp:posOffset>36830</wp:posOffset>
                </wp:positionV>
                <wp:extent cx="5943600" cy="37719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3771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9DE04" w14:textId="4B1AE68C" w:rsidR="00B335F5" w:rsidRPr="00561073" w:rsidRDefault="00B335F5" w:rsidP="00E25988">
                            <w:pPr>
                              <w:tabs>
                                <w:tab w:val="left" w:pos="7513"/>
                                <w:tab w:val="left" w:pos="7655"/>
                                <w:tab w:val="left" w:pos="7797"/>
                              </w:tabs>
                              <w:ind w:left="270" w:right="1417"/>
                              <w:jc w:val="left"/>
                            </w:pPr>
                            <w:r w:rsidRPr="00561073">
                              <w:rPr>
                                <w:rFonts w:cs="Times"/>
                              </w:rPr>
                              <w:t>In your argument, you are citing a</w:t>
                            </w:r>
                            <w:r>
                              <w:rPr>
                                <w:rFonts w:cs="Times"/>
                              </w:rPr>
                              <w:t xml:space="preserve"> number of cases from different </w:t>
                            </w:r>
                            <w:r w:rsidRPr="00561073">
                              <w:rPr>
                                <w:rFonts w:cs="Times"/>
                              </w:rPr>
                              <w:t>courts. This is the first time you cite any of these cases. What is the most accurate citation sentence (use your citation manual)?</w:t>
                            </w:r>
                          </w:p>
                          <w:p w14:paraId="1E96F64E" w14:textId="77777777" w:rsidR="00B335F5" w:rsidRPr="00044E2C" w:rsidRDefault="00B335F5" w:rsidP="009506FC">
                            <w:pPr>
                              <w:pStyle w:val="ListParagraph"/>
                              <w:ind w:left="270" w:right="566"/>
                            </w:pPr>
                          </w:p>
                          <w:p w14:paraId="2073C051" w14:textId="77777777" w:rsidR="00B335F5" w:rsidRPr="00DD4913" w:rsidRDefault="00B335F5" w:rsidP="00E25988">
                            <w:pPr>
                              <w:pStyle w:val="ListParagraph"/>
                              <w:numPr>
                                <w:ilvl w:val="6"/>
                                <w:numId w:val="3"/>
                              </w:numPr>
                              <w:tabs>
                                <w:tab w:val="left" w:pos="851"/>
                              </w:tabs>
                              <w:spacing w:after="200" w:line="240" w:lineRule="auto"/>
                              <w:ind w:left="540" w:right="566" w:firstLine="0"/>
                              <w:jc w:val="left"/>
                            </w:pPr>
                            <w:r w:rsidRPr="00DD4913">
                              <w:rPr>
                                <w:rFonts w:cs="Times"/>
                                <w:i/>
                              </w:rPr>
                              <w:t>Wyman v. Newhouse</w:t>
                            </w:r>
                            <w:r w:rsidRPr="00DD4913">
                              <w:rPr>
                                <w:rFonts w:cs="Times"/>
                              </w:rPr>
                              <w:t xml:space="preserve">, 93 F.2d 313, 315 (2d Cir. 1937); </w:t>
                            </w:r>
                            <w:r w:rsidRPr="00DD4913">
                              <w:rPr>
                                <w:rFonts w:cs="Times"/>
                                <w:i/>
                              </w:rPr>
                              <w:t>Henkel Co. v. Degremont</w:t>
                            </w:r>
                            <w:r w:rsidRPr="00DD4913">
                              <w:rPr>
                                <w:rFonts w:cs="Times"/>
                              </w:rPr>
                              <w:t xml:space="preserve">, 136 F.R.D. 88, 94 (E.D. Pa. 1991), </w:t>
                            </w:r>
                            <w:r w:rsidRPr="00DD4913">
                              <w:rPr>
                                <w:rFonts w:cs="Times"/>
                                <w:i/>
                              </w:rPr>
                              <w:t>Willametz v. Susi</w:t>
                            </w:r>
                            <w:r w:rsidRPr="00DD4913">
                              <w:rPr>
                                <w:rFonts w:cs="Times"/>
                              </w:rPr>
                              <w:t>, 54. F.R.D. 363, 465 (D. Mass. 1972).</w:t>
                            </w:r>
                            <w:r>
                              <w:rPr>
                                <w:rFonts w:cs="Times"/>
                              </w:rPr>
                              <w:br/>
                            </w:r>
                          </w:p>
                          <w:p w14:paraId="13A59CD3" w14:textId="77777777" w:rsidR="00B335F5" w:rsidRPr="00DD4913" w:rsidRDefault="00B335F5" w:rsidP="00E25988">
                            <w:pPr>
                              <w:pStyle w:val="ListParagraph"/>
                              <w:numPr>
                                <w:ilvl w:val="6"/>
                                <w:numId w:val="3"/>
                              </w:numPr>
                              <w:tabs>
                                <w:tab w:val="left" w:pos="851"/>
                              </w:tabs>
                              <w:spacing w:after="200" w:line="240" w:lineRule="auto"/>
                              <w:ind w:left="630" w:right="566" w:firstLine="0"/>
                              <w:jc w:val="left"/>
                            </w:pPr>
                            <w:r w:rsidRPr="00DD4913">
                              <w:rPr>
                                <w:rFonts w:cs="Times"/>
                                <w:i/>
                              </w:rPr>
                              <w:t>Henkel Co. v. Degremont</w:t>
                            </w:r>
                            <w:r w:rsidRPr="00DD4913">
                              <w:rPr>
                                <w:rFonts w:cs="Times"/>
                              </w:rPr>
                              <w:t>, 136 F.R.D. 88, 94 (E.D. Pa. 1991)</w:t>
                            </w:r>
                            <w:r>
                              <w:rPr>
                                <w:rFonts w:cs="Times"/>
                              </w:rPr>
                              <w:t>;</w:t>
                            </w:r>
                            <w:r w:rsidRPr="00DD4913">
                              <w:rPr>
                                <w:rFonts w:cs="Times"/>
                              </w:rPr>
                              <w:t xml:space="preserve"> </w:t>
                            </w:r>
                            <w:r w:rsidRPr="00DD4913">
                              <w:rPr>
                                <w:rFonts w:cs="Times"/>
                                <w:i/>
                              </w:rPr>
                              <w:t>Willametz v. Susi</w:t>
                            </w:r>
                            <w:r w:rsidRPr="00DD4913">
                              <w:rPr>
                                <w:rFonts w:cs="Times"/>
                              </w:rPr>
                              <w:t>, 54. F.R.D. 363, 465 (D. Mass. 1972)</w:t>
                            </w:r>
                            <w:r>
                              <w:rPr>
                                <w:rFonts w:cs="Times"/>
                              </w:rPr>
                              <w:t xml:space="preserve">; </w:t>
                            </w:r>
                            <w:r w:rsidRPr="00DD4913">
                              <w:rPr>
                                <w:rFonts w:cs="Times"/>
                                <w:i/>
                              </w:rPr>
                              <w:t>Wyman v. Newhouse</w:t>
                            </w:r>
                            <w:r w:rsidRPr="00DD4913">
                              <w:rPr>
                                <w:rFonts w:cs="Times"/>
                              </w:rPr>
                              <w:t>, 93 F.2d 313, 315 (2d Cir. 1937)</w:t>
                            </w:r>
                            <w:r>
                              <w:rPr>
                                <w:rFonts w:cs="Times"/>
                              </w:rPr>
                              <w:t>.</w:t>
                            </w:r>
                          </w:p>
                          <w:p w14:paraId="537E035F" w14:textId="77777777" w:rsidR="00B335F5" w:rsidRPr="00044E2C" w:rsidRDefault="00B335F5" w:rsidP="009506FC">
                            <w:pPr>
                              <w:pStyle w:val="ListParagraph"/>
                              <w:tabs>
                                <w:tab w:val="left" w:pos="851"/>
                              </w:tabs>
                              <w:ind w:left="630" w:right="566"/>
                            </w:pPr>
                          </w:p>
                          <w:p w14:paraId="2454409C" w14:textId="77777777" w:rsidR="00B335F5" w:rsidRPr="00DD4913" w:rsidRDefault="00B335F5" w:rsidP="00E25988">
                            <w:pPr>
                              <w:pStyle w:val="ListParagraph"/>
                              <w:numPr>
                                <w:ilvl w:val="6"/>
                                <w:numId w:val="3"/>
                              </w:numPr>
                              <w:tabs>
                                <w:tab w:val="left" w:pos="851"/>
                              </w:tabs>
                              <w:spacing w:after="200" w:line="240" w:lineRule="auto"/>
                              <w:ind w:left="630" w:right="566" w:firstLine="0"/>
                              <w:jc w:val="left"/>
                            </w:pPr>
                            <w:r w:rsidRPr="00DD4913">
                              <w:rPr>
                                <w:rFonts w:cs="Times"/>
                                <w:i/>
                              </w:rPr>
                              <w:t>Willametz v. Susi</w:t>
                            </w:r>
                            <w:r w:rsidRPr="00DD4913">
                              <w:rPr>
                                <w:rFonts w:cs="Times"/>
                              </w:rPr>
                              <w:t>, 54. F.R.D. 363, 465 (D. Mass. 1972)</w:t>
                            </w:r>
                            <w:r>
                              <w:rPr>
                                <w:rFonts w:cs="Times"/>
                              </w:rPr>
                              <w:t xml:space="preserve">; </w:t>
                            </w:r>
                            <w:r w:rsidRPr="00DD4913">
                              <w:rPr>
                                <w:rFonts w:cs="Times"/>
                                <w:i/>
                              </w:rPr>
                              <w:t>Henkel Co. v. Degremont</w:t>
                            </w:r>
                            <w:r w:rsidRPr="00DD4913">
                              <w:rPr>
                                <w:rFonts w:cs="Times"/>
                              </w:rPr>
                              <w:t>, 136 F.R.D. 88, 94 (E.D. Pa. 1991)</w:t>
                            </w:r>
                            <w:r>
                              <w:rPr>
                                <w:rFonts w:cs="Times"/>
                              </w:rPr>
                              <w:t>;</w:t>
                            </w:r>
                            <w:r w:rsidRPr="00DD4913">
                              <w:rPr>
                                <w:rFonts w:cs="Times"/>
                              </w:rPr>
                              <w:t xml:space="preserve"> </w:t>
                            </w:r>
                            <w:r w:rsidRPr="00DD4913">
                              <w:rPr>
                                <w:rFonts w:cs="Times"/>
                                <w:i/>
                              </w:rPr>
                              <w:t>Wyman v. Newhouse</w:t>
                            </w:r>
                            <w:r w:rsidRPr="00DD4913">
                              <w:rPr>
                                <w:rFonts w:cs="Times"/>
                              </w:rPr>
                              <w:t xml:space="preserve">, 93 F.2d 313, 315 (2d Cir. </w:t>
                            </w:r>
                            <w:r>
                              <w:rPr>
                                <w:rFonts w:cs="Times"/>
                              </w:rPr>
                              <w:t>1937).</w:t>
                            </w:r>
                            <w:r w:rsidRPr="00DD4913">
                              <w:rPr>
                                <w:rFonts w:cs="Times"/>
                              </w:rPr>
                              <w:t xml:space="preserve"> </w:t>
                            </w:r>
                          </w:p>
                          <w:p w14:paraId="4F3F6621" w14:textId="77777777" w:rsidR="00B335F5" w:rsidRPr="00044E2C" w:rsidRDefault="00B335F5" w:rsidP="009506FC">
                            <w:pPr>
                              <w:pStyle w:val="ListParagraph"/>
                              <w:tabs>
                                <w:tab w:val="left" w:pos="851"/>
                              </w:tabs>
                              <w:ind w:left="630" w:right="566"/>
                            </w:pPr>
                          </w:p>
                          <w:p w14:paraId="4E3DE870" w14:textId="77777777" w:rsidR="00B335F5" w:rsidRPr="009506FC" w:rsidRDefault="00B335F5" w:rsidP="00E25988">
                            <w:pPr>
                              <w:pStyle w:val="ListParagraph"/>
                              <w:numPr>
                                <w:ilvl w:val="6"/>
                                <w:numId w:val="3"/>
                              </w:numPr>
                              <w:tabs>
                                <w:tab w:val="left" w:pos="851"/>
                              </w:tabs>
                              <w:spacing w:after="200" w:line="240" w:lineRule="auto"/>
                              <w:ind w:left="630" w:right="566" w:firstLine="0"/>
                              <w:jc w:val="left"/>
                              <w:rPr>
                                <w:rStyle w:val="IntenseReference"/>
                                <w:b w:val="0"/>
                                <w:bCs w:val="0"/>
                                <w:smallCaps w:val="0"/>
                                <w:color w:val="000000"/>
                                <w:spacing w:val="0"/>
                                <w:u w:val="none"/>
                              </w:rPr>
                            </w:pPr>
                            <w:r w:rsidRPr="00DD4913">
                              <w:rPr>
                                <w:rFonts w:cs="Times"/>
                                <w:i/>
                              </w:rPr>
                              <w:t>Wyman v. Newhouse</w:t>
                            </w:r>
                            <w:r w:rsidRPr="00DD4913">
                              <w:rPr>
                                <w:rFonts w:cs="Times"/>
                              </w:rPr>
                              <w:t xml:space="preserve">, 93 F.2d 313, 315 (2d Cir. </w:t>
                            </w:r>
                            <w:r>
                              <w:rPr>
                                <w:rFonts w:cs="Times"/>
                              </w:rPr>
                              <w:t xml:space="preserve">1937), </w:t>
                            </w:r>
                            <w:r w:rsidRPr="00DD4913">
                              <w:rPr>
                                <w:rFonts w:cs="Times"/>
                                <w:i/>
                              </w:rPr>
                              <w:t>Willametz v. Susi</w:t>
                            </w:r>
                            <w:r w:rsidRPr="00DD4913">
                              <w:rPr>
                                <w:rFonts w:cs="Times"/>
                              </w:rPr>
                              <w:t>, 54. F.R.D. 363, 465 (D. Mass. 1972)</w:t>
                            </w:r>
                            <w:r>
                              <w:rPr>
                                <w:rFonts w:cs="Times"/>
                              </w:rPr>
                              <w:t xml:space="preserve">, </w:t>
                            </w:r>
                            <w:r w:rsidRPr="00DD4913">
                              <w:rPr>
                                <w:rFonts w:cs="Times"/>
                                <w:i/>
                              </w:rPr>
                              <w:t>Henkel Co. v. Degremont</w:t>
                            </w:r>
                            <w:r w:rsidRPr="00DD4913">
                              <w:rPr>
                                <w:rFonts w:cs="Times"/>
                              </w:rPr>
                              <w:t xml:space="preserve">, 136 F.R.D. 88, 94 (E.D. Pa. </w:t>
                            </w:r>
                            <w:r>
                              <w:rPr>
                                <w:rFonts w:cs="Times"/>
                              </w:rPr>
                              <w:t>1991).</w:t>
                            </w:r>
                            <w:r w:rsidRPr="00DD4913">
                              <w:rPr>
                                <w:rFonts w:cs="Times"/>
                              </w:rPr>
                              <w:t xml:space="preserve"> </w:t>
                            </w:r>
                          </w:p>
                          <w:p w14:paraId="24083354" w14:textId="77777777" w:rsidR="00B335F5" w:rsidRDefault="00B335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8pt;margin-top:2.9pt;width:468pt;height:2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" filled="f" strokecolor="black [3213]">
                <v:textbox>
                  <w:txbxContent>
                    <w:p w14:paraId="1D09DE04" w14:textId="4B1AE68C" w:rsidR="002531BD" w:rsidRPr="00561073" w:rsidRDefault="002531BD" w:rsidP="00E25988">
                      <w:pPr>
                        <w:tabs>
                          <w:tab w:val="left" w:pos="7513"/>
                          <w:tab w:val="left" w:pos="7655"/>
                          <w:tab w:val="left" w:pos="7797"/>
                        </w:tabs>
                        <w:ind w:left="270" w:right="1417"/>
                        <w:jc w:val="left"/>
                      </w:pPr>
                      <w:r w:rsidRPr="00561073">
                        <w:rPr>
                          <w:rFonts w:cs="Times"/>
                        </w:rPr>
                        <w:t>In your argument, you are citing a</w:t>
                      </w:r>
                      <w:r>
                        <w:rPr>
                          <w:rFonts w:cs="Times"/>
                        </w:rPr>
                        <w:t xml:space="preserve"> number of cases from different </w:t>
                      </w:r>
                      <w:r w:rsidRPr="00561073">
                        <w:rPr>
                          <w:rFonts w:cs="Times"/>
                        </w:rPr>
                        <w:t>courts. This is the first time you cite any of these cases. What is the most accurate citation sentence (use your citation manual)?</w:t>
                      </w:r>
                    </w:p>
                    <w:p w14:paraId="1E96F64E" w14:textId="77777777" w:rsidR="002531BD" w:rsidRPr="00044E2C" w:rsidRDefault="002531BD" w:rsidP="009506FC">
                      <w:pPr>
                        <w:pStyle w:val="ListParagraph"/>
                        <w:ind w:left="270" w:right="566"/>
                      </w:pPr>
                    </w:p>
                    <w:p w14:paraId="2073C051" w14:textId="77777777" w:rsidR="002531BD" w:rsidRPr="00DD4913" w:rsidRDefault="002531BD" w:rsidP="00E25988">
                      <w:pPr>
                        <w:pStyle w:val="ListParagraph"/>
                        <w:numPr>
                          <w:ilvl w:val="6"/>
                          <w:numId w:val="3"/>
                        </w:numPr>
                        <w:tabs>
                          <w:tab w:val="left" w:pos="851"/>
                        </w:tabs>
                        <w:spacing w:after="200" w:line="240" w:lineRule="auto"/>
                        <w:ind w:left="540" w:right="566" w:firstLine="0"/>
                        <w:jc w:val="left"/>
                      </w:pPr>
                      <w:r w:rsidRPr="00DD4913">
                        <w:rPr>
                          <w:rFonts w:cs="Times"/>
                          <w:i/>
                        </w:rPr>
                        <w:t>Wyman v. Newhouse</w:t>
                      </w:r>
                      <w:r w:rsidRPr="00DD4913">
                        <w:rPr>
                          <w:rFonts w:cs="Times"/>
                        </w:rPr>
                        <w:t xml:space="preserve">, 93 F.2d 313, 315 (2d Cir. 1937); </w:t>
                      </w:r>
                      <w:r w:rsidRPr="00DD4913">
                        <w:rPr>
                          <w:rFonts w:cs="Times"/>
                          <w:i/>
                        </w:rPr>
                        <w:t xml:space="preserve">Henkel Co. v. </w:t>
                      </w:r>
                      <w:proofErr w:type="spellStart"/>
                      <w:r w:rsidRPr="00DD4913">
                        <w:rPr>
                          <w:rFonts w:cs="Times"/>
                          <w:i/>
                        </w:rPr>
                        <w:t>Degremont</w:t>
                      </w:r>
                      <w:proofErr w:type="spellEnd"/>
                      <w:r w:rsidRPr="00DD4913">
                        <w:rPr>
                          <w:rFonts w:cs="Times"/>
                        </w:rPr>
                        <w:t xml:space="preserve">, 136 F.R.D. 88, 94 (E.D. Pa. 1991), </w:t>
                      </w:r>
                      <w:proofErr w:type="spellStart"/>
                      <w:r w:rsidRPr="00DD4913">
                        <w:rPr>
                          <w:rFonts w:cs="Times"/>
                          <w:i/>
                        </w:rPr>
                        <w:t>Willametz</w:t>
                      </w:r>
                      <w:proofErr w:type="spellEnd"/>
                      <w:r w:rsidRPr="00DD4913">
                        <w:rPr>
                          <w:rFonts w:cs="Times"/>
                          <w:i/>
                        </w:rPr>
                        <w:t xml:space="preserve"> v. Susi</w:t>
                      </w:r>
                      <w:r w:rsidRPr="00DD4913">
                        <w:rPr>
                          <w:rFonts w:cs="Times"/>
                        </w:rPr>
                        <w:t>, 54. F.R.D. 363, 465 (D. Mass. 1972).</w:t>
                      </w:r>
                      <w:r>
                        <w:rPr>
                          <w:rFonts w:cs="Times"/>
                        </w:rPr>
                        <w:br/>
                      </w:r>
                    </w:p>
                    <w:p w14:paraId="13A59CD3" w14:textId="77777777" w:rsidR="002531BD" w:rsidRPr="00DD4913" w:rsidRDefault="002531BD" w:rsidP="00E25988">
                      <w:pPr>
                        <w:pStyle w:val="ListParagraph"/>
                        <w:numPr>
                          <w:ilvl w:val="6"/>
                          <w:numId w:val="3"/>
                        </w:numPr>
                        <w:tabs>
                          <w:tab w:val="left" w:pos="851"/>
                        </w:tabs>
                        <w:spacing w:after="200" w:line="240" w:lineRule="auto"/>
                        <w:ind w:left="630" w:right="566" w:firstLine="0"/>
                        <w:jc w:val="left"/>
                      </w:pPr>
                      <w:r w:rsidRPr="00DD4913">
                        <w:rPr>
                          <w:rFonts w:cs="Times"/>
                          <w:i/>
                        </w:rPr>
                        <w:t xml:space="preserve">Henkel Co. v. </w:t>
                      </w:r>
                      <w:proofErr w:type="spellStart"/>
                      <w:r w:rsidRPr="00DD4913">
                        <w:rPr>
                          <w:rFonts w:cs="Times"/>
                          <w:i/>
                        </w:rPr>
                        <w:t>Degremont</w:t>
                      </w:r>
                      <w:proofErr w:type="spellEnd"/>
                      <w:r w:rsidRPr="00DD4913">
                        <w:rPr>
                          <w:rFonts w:cs="Times"/>
                        </w:rPr>
                        <w:t>, 136 F.R.D. 88, 94 (E.D. Pa. 1991)</w:t>
                      </w:r>
                      <w:r>
                        <w:rPr>
                          <w:rFonts w:cs="Times"/>
                        </w:rPr>
                        <w:t>;</w:t>
                      </w:r>
                      <w:r w:rsidRPr="00DD4913">
                        <w:rPr>
                          <w:rFonts w:cs="Times"/>
                        </w:rPr>
                        <w:t xml:space="preserve"> </w:t>
                      </w:r>
                      <w:proofErr w:type="spellStart"/>
                      <w:r w:rsidRPr="00DD4913">
                        <w:rPr>
                          <w:rFonts w:cs="Times"/>
                          <w:i/>
                        </w:rPr>
                        <w:t>Willametz</w:t>
                      </w:r>
                      <w:proofErr w:type="spellEnd"/>
                      <w:r w:rsidRPr="00DD4913">
                        <w:rPr>
                          <w:rFonts w:cs="Times"/>
                          <w:i/>
                        </w:rPr>
                        <w:t xml:space="preserve"> v. Susi</w:t>
                      </w:r>
                      <w:r w:rsidRPr="00DD4913">
                        <w:rPr>
                          <w:rFonts w:cs="Times"/>
                        </w:rPr>
                        <w:t>, 54. F.R.D. 363, 465 (D. Mass. 1972)</w:t>
                      </w:r>
                      <w:r>
                        <w:rPr>
                          <w:rFonts w:cs="Times"/>
                        </w:rPr>
                        <w:t xml:space="preserve">; </w:t>
                      </w:r>
                      <w:r w:rsidRPr="00DD4913">
                        <w:rPr>
                          <w:rFonts w:cs="Times"/>
                          <w:i/>
                        </w:rPr>
                        <w:t>Wyman v. Newhouse</w:t>
                      </w:r>
                      <w:r w:rsidRPr="00DD4913">
                        <w:rPr>
                          <w:rFonts w:cs="Times"/>
                        </w:rPr>
                        <w:t>, 93 F.2d 313, 315 (2d Cir. 1937)</w:t>
                      </w:r>
                      <w:r>
                        <w:rPr>
                          <w:rFonts w:cs="Times"/>
                        </w:rPr>
                        <w:t>.</w:t>
                      </w:r>
                    </w:p>
                    <w:p w14:paraId="537E035F" w14:textId="77777777" w:rsidR="002531BD" w:rsidRPr="00044E2C" w:rsidRDefault="002531BD" w:rsidP="009506FC">
                      <w:pPr>
                        <w:pStyle w:val="ListParagraph"/>
                        <w:tabs>
                          <w:tab w:val="left" w:pos="851"/>
                        </w:tabs>
                        <w:ind w:left="630" w:right="566"/>
                      </w:pPr>
                    </w:p>
                    <w:p w14:paraId="2454409C" w14:textId="77777777" w:rsidR="002531BD" w:rsidRPr="00DD4913" w:rsidRDefault="002531BD" w:rsidP="00E25988">
                      <w:pPr>
                        <w:pStyle w:val="ListParagraph"/>
                        <w:numPr>
                          <w:ilvl w:val="6"/>
                          <w:numId w:val="3"/>
                        </w:numPr>
                        <w:tabs>
                          <w:tab w:val="left" w:pos="851"/>
                        </w:tabs>
                        <w:spacing w:after="200" w:line="240" w:lineRule="auto"/>
                        <w:ind w:left="630" w:right="566" w:firstLine="0"/>
                        <w:jc w:val="left"/>
                      </w:pPr>
                      <w:proofErr w:type="spellStart"/>
                      <w:r w:rsidRPr="00DD4913">
                        <w:rPr>
                          <w:rFonts w:cs="Times"/>
                          <w:i/>
                        </w:rPr>
                        <w:t>Willametz</w:t>
                      </w:r>
                      <w:proofErr w:type="spellEnd"/>
                      <w:r w:rsidRPr="00DD4913">
                        <w:rPr>
                          <w:rFonts w:cs="Times"/>
                          <w:i/>
                        </w:rPr>
                        <w:t xml:space="preserve"> v. Susi</w:t>
                      </w:r>
                      <w:r w:rsidRPr="00DD4913">
                        <w:rPr>
                          <w:rFonts w:cs="Times"/>
                        </w:rPr>
                        <w:t>, 54. F.R.D. 363, 465 (D. Mass. 1972)</w:t>
                      </w:r>
                      <w:r>
                        <w:rPr>
                          <w:rFonts w:cs="Times"/>
                        </w:rPr>
                        <w:t xml:space="preserve">; </w:t>
                      </w:r>
                      <w:r w:rsidRPr="00DD4913">
                        <w:rPr>
                          <w:rFonts w:cs="Times"/>
                          <w:i/>
                        </w:rPr>
                        <w:t xml:space="preserve">Henkel Co. v. </w:t>
                      </w:r>
                      <w:proofErr w:type="spellStart"/>
                      <w:r w:rsidRPr="00DD4913">
                        <w:rPr>
                          <w:rFonts w:cs="Times"/>
                          <w:i/>
                        </w:rPr>
                        <w:t>Degremont</w:t>
                      </w:r>
                      <w:proofErr w:type="spellEnd"/>
                      <w:r w:rsidRPr="00DD4913">
                        <w:rPr>
                          <w:rFonts w:cs="Times"/>
                        </w:rPr>
                        <w:t>, 136 F.R.D. 88, 94 (E.D. Pa. 1991)</w:t>
                      </w:r>
                      <w:r>
                        <w:rPr>
                          <w:rFonts w:cs="Times"/>
                        </w:rPr>
                        <w:t>;</w:t>
                      </w:r>
                      <w:r w:rsidRPr="00DD4913">
                        <w:rPr>
                          <w:rFonts w:cs="Times"/>
                        </w:rPr>
                        <w:t xml:space="preserve"> </w:t>
                      </w:r>
                      <w:r w:rsidRPr="00DD4913">
                        <w:rPr>
                          <w:rFonts w:cs="Times"/>
                          <w:i/>
                        </w:rPr>
                        <w:t>Wyman v. Newhouse</w:t>
                      </w:r>
                      <w:r w:rsidRPr="00DD4913">
                        <w:rPr>
                          <w:rFonts w:cs="Times"/>
                        </w:rPr>
                        <w:t xml:space="preserve">, 93 F.2d 313, 315 (2d Cir. </w:t>
                      </w:r>
                      <w:r>
                        <w:rPr>
                          <w:rFonts w:cs="Times"/>
                        </w:rPr>
                        <w:t>1937).</w:t>
                      </w:r>
                      <w:r w:rsidRPr="00DD4913">
                        <w:rPr>
                          <w:rFonts w:cs="Times"/>
                        </w:rPr>
                        <w:t xml:space="preserve"> </w:t>
                      </w:r>
                    </w:p>
                    <w:p w14:paraId="4F3F6621" w14:textId="77777777" w:rsidR="002531BD" w:rsidRPr="00044E2C" w:rsidRDefault="002531BD" w:rsidP="009506FC">
                      <w:pPr>
                        <w:pStyle w:val="ListParagraph"/>
                        <w:tabs>
                          <w:tab w:val="left" w:pos="851"/>
                        </w:tabs>
                        <w:ind w:left="630" w:right="566"/>
                      </w:pPr>
                    </w:p>
                    <w:p w14:paraId="4E3DE870" w14:textId="77777777" w:rsidR="002531BD" w:rsidRPr="009506FC" w:rsidRDefault="002531BD" w:rsidP="00E25988">
                      <w:pPr>
                        <w:pStyle w:val="ListParagraph"/>
                        <w:numPr>
                          <w:ilvl w:val="6"/>
                          <w:numId w:val="3"/>
                        </w:numPr>
                        <w:tabs>
                          <w:tab w:val="left" w:pos="851"/>
                        </w:tabs>
                        <w:spacing w:after="200" w:line="240" w:lineRule="auto"/>
                        <w:ind w:left="630" w:right="566" w:firstLine="0"/>
                        <w:jc w:val="left"/>
                        <w:rPr>
                          <w:rStyle w:val="IntenseReference"/>
                          <w:b w:val="0"/>
                          <w:bCs w:val="0"/>
                          <w:smallCaps w:val="0"/>
                          <w:color w:val="000000"/>
                          <w:spacing w:val="0"/>
                          <w:u w:val="none"/>
                        </w:rPr>
                      </w:pPr>
                      <w:r w:rsidRPr="00DD4913">
                        <w:rPr>
                          <w:rFonts w:cs="Times"/>
                          <w:i/>
                        </w:rPr>
                        <w:t>Wyman v. Newhouse</w:t>
                      </w:r>
                      <w:r w:rsidRPr="00DD4913">
                        <w:rPr>
                          <w:rFonts w:cs="Times"/>
                        </w:rPr>
                        <w:t xml:space="preserve">, 93 F.2d 313, 315 (2d Cir. </w:t>
                      </w:r>
                      <w:r>
                        <w:rPr>
                          <w:rFonts w:cs="Times"/>
                        </w:rPr>
                        <w:t xml:space="preserve">1937), </w:t>
                      </w:r>
                      <w:proofErr w:type="spellStart"/>
                      <w:r w:rsidRPr="00DD4913">
                        <w:rPr>
                          <w:rFonts w:cs="Times"/>
                          <w:i/>
                        </w:rPr>
                        <w:t>Willametz</w:t>
                      </w:r>
                      <w:proofErr w:type="spellEnd"/>
                      <w:r w:rsidRPr="00DD4913">
                        <w:rPr>
                          <w:rFonts w:cs="Times"/>
                          <w:i/>
                        </w:rPr>
                        <w:t xml:space="preserve"> v. Susi</w:t>
                      </w:r>
                      <w:r w:rsidRPr="00DD4913">
                        <w:rPr>
                          <w:rFonts w:cs="Times"/>
                        </w:rPr>
                        <w:t>, 54. F.R.D. 363, 465 (D. Mass. 1972)</w:t>
                      </w:r>
                      <w:r>
                        <w:rPr>
                          <w:rFonts w:cs="Times"/>
                        </w:rPr>
                        <w:t xml:space="preserve">, </w:t>
                      </w:r>
                      <w:r w:rsidRPr="00DD4913">
                        <w:rPr>
                          <w:rFonts w:cs="Times"/>
                          <w:i/>
                        </w:rPr>
                        <w:t xml:space="preserve">Henkel Co. v. </w:t>
                      </w:r>
                      <w:proofErr w:type="spellStart"/>
                      <w:r w:rsidRPr="00DD4913">
                        <w:rPr>
                          <w:rFonts w:cs="Times"/>
                          <w:i/>
                        </w:rPr>
                        <w:t>Degremont</w:t>
                      </w:r>
                      <w:proofErr w:type="spellEnd"/>
                      <w:r w:rsidRPr="00DD4913">
                        <w:rPr>
                          <w:rFonts w:cs="Times"/>
                        </w:rPr>
                        <w:t xml:space="preserve">, 136 F.R.D. 88, 94 (E.D. Pa. </w:t>
                      </w:r>
                      <w:r>
                        <w:rPr>
                          <w:rFonts w:cs="Times"/>
                        </w:rPr>
                        <w:t>1991).</w:t>
                      </w:r>
                      <w:r w:rsidRPr="00DD4913">
                        <w:rPr>
                          <w:rFonts w:cs="Times"/>
                        </w:rPr>
                        <w:t xml:space="preserve"> </w:t>
                      </w:r>
                    </w:p>
                    <w:p w14:paraId="24083354" w14:textId="77777777" w:rsidR="002531BD" w:rsidRDefault="002531BD"/>
                  </w:txbxContent>
                </v:textbox>
                <w10:wrap type="square"/>
              </v:shape>
            </w:pict>
          </mc:Fallback>
        </mc:AlternateContent>
      </w:r>
    </w:p>
    <w:p w14:paraId="51C16114" w14:textId="16881016" w:rsidR="002531BD" w:rsidRDefault="002531BD" w:rsidP="00B335F5">
      <w:pPr>
        <w:spacing w:line="300" w:lineRule="exact"/>
      </w:pPr>
      <w:r w:rsidRPr="002531BD">
        <w:t xml:space="preserve">Have </w:t>
      </w:r>
      <w:r>
        <w:t xml:space="preserve">a peer or colleague </w:t>
      </w:r>
      <w:r w:rsidRPr="00575754">
        <w:rPr>
          <w:u w:val="single"/>
        </w:rPr>
        <w:t>review your questions</w:t>
      </w:r>
      <w:r>
        <w:t>. It can be difficult to see flaws in our own questions, when we have spent hours writing them. A fresh set of eyes can help us catch many errors. There is nothing more uncomfortable then dashing off a set of poorly written questions, rushing to class, and enduring the inevitable student backlash and discontent.</w:t>
      </w:r>
    </w:p>
    <w:p w14:paraId="5EB823FC" w14:textId="77777777" w:rsidR="002531BD" w:rsidRDefault="002531BD" w:rsidP="00127DAA">
      <w:pPr>
        <w:spacing w:line="240" w:lineRule="auto"/>
        <w:jc w:val="left"/>
        <w:rPr>
          <w:rStyle w:val="IntenseReference"/>
        </w:rPr>
      </w:pPr>
      <w:r>
        <w:rPr>
          <w:rStyle w:val="IntenseReference"/>
        </w:rPr>
        <w:br w:type="page"/>
      </w:r>
    </w:p>
    <w:p w14:paraId="44A41F4A" w14:textId="3E41005F" w:rsidR="00841F65" w:rsidRPr="00841F65" w:rsidRDefault="00841F65" w:rsidP="00127DAA">
      <w:pPr>
        <w:spacing w:before="100" w:beforeAutospacing="1" w:after="100" w:afterAutospacing="1" w:line="240" w:lineRule="auto"/>
        <w:outlineLvl w:val="2"/>
        <w:rPr>
          <w:rStyle w:val="IntenseReference"/>
        </w:rPr>
      </w:pPr>
      <w:r w:rsidRPr="00841F65">
        <w:rPr>
          <w:rStyle w:val="IntenseReference"/>
        </w:rPr>
        <w:lastRenderedPageBreak/>
        <w:t xml:space="preserve">Some Rules for </w:t>
      </w:r>
      <w:r w:rsidR="002531BD">
        <w:rPr>
          <w:rStyle w:val="IntenseReference"/>
        </w:rPr>
        <w:t xml:space="preserve">MCQ </w:t>
      </w:r>
      <w:r w:rsidRPr="00841F65">
        <w:rPr>
          <w:rStyle w:val="IntenseReference"/>
        </w:rPr>
        <w:t>Question Writing</w:t>
      </w:r>
    </w:p>
    <w:p w14:paraId="675145ED" w14:textId="77777777" w:rsidR="00841F65" w:rsidRPr="00D84BEC" w:rsidRDefault="00841F65" w:rsidP="00B335F5">
      <w:pPr>
        <w:spacing w:before="100" w:beforeAutospacing="1" w:after="100" w:afterAutospacing="1" w:line="300" w:lineRule="exact"/>
        <w:ind w:left="270"/>
        <w:rPr>
          <w:rFonts w:ascii="Georgia" w:hAnsi="Georgia" w:cs="Times New Roman"/>
          <w:color w:val="333333"/>
        </w:rPr>
      </w:pPr>
      <w:r w:rsidRPr="00D84BEC">
        <w:rPr>
          <w:rFonts w:ascii="Georgia" w:hAnsi="Georgia" w:cs="Times New Roman"/>
          <w:color w:val="333333"/>
        </w:rPr>
        <w:t>For </w:t>
      </w:r>
      <w:r w:rsidRPr="00D84BEC">
        <w:rPr>
          <w:rFonts w:ascii="Georgia" w:hAnsi="Georgia" w:cs="Times New Roman"/>
          <w:color w:val="333333"/>
          <w:u w:val="single"/>
        </w:rPr>
        <w:t>good question stems</w:t>
      </w:r>
      <w:r w:rsidRPr="00D84BEC">
        <w:rPr>
          <w:rFonts w:ascii="Georgia" w:hAnsi="Georgia" w:cs="Times New Roman"/>
          <w:color w:val="333333"/>
        </w:rPr>
        <w:t>, consider following rules:</w:t>
      </w:r>
    </w:p>
    <w:p w14:paraId="33F49274" w14:textId="77777777" w:rsidR="00841F65" w:rsidRPr="00D84BEC" w:rsidRDefault="00841F65" w:rsidP="00B335F5">
      <w:pPr>
        <w:numPr>
          <w:ilvl w:val="0"/>
          <w:numId w:val="1"/>
        </w:numPr>
        <w:spacing w:before="100" w:beforeAutospacing="1" w:after="100" w:afterAutospacing="1" w:line="300" w:lineRule="exact"/>
        <w:ind w:left="810"/>
        <w:jc w:val="left"/>
        <w:rPr>
          <w:rFonts w:ascii="Georgia" w:eastAsia="Times New Roman" w:hAnsi="Georgia" w:cs="Times New Roman"/>
          <w:color w:val="333333"/>
        </w:rPr>
      </w:pPr>
      <w:r w:rsidRPr="00D84BEC">
        <w:rPr>
          <w:rFonts w:ascii="Georgia" w:eastAsia="Times New Roman" w:hAnsi="Georgia" w:cs="Times New Roman"/>
          <w:color w:val="333333"/>
        </w:rPr>
        <w:t>Stems should be stand-alone questions.</w:t>
      </w:r>
    </w:p>
    <w:p w14:paraId="48A3418F" w14:textId="77777777" w:rsidR="00841F65" w:rsidRPr="00D84BEC" w:rsidRDefault="00841F65" w:rsidP="00B335F5">
      <w:pPr>
        <w:numPr>
          <w:ilvl w:val="0"/>
          <w:numId w:val="1"/>
        </w:numPr>
        <w:spacing w:before="100" w:beforeAutospacing="1" w:after="100" w:afterAutospacing="1" w:line="300" w:lineRule="exact"/>
        <w:ind w:left="810"/>
        <w:jc w:val="left"/>
        <w:rPr>
          <w:rFonts w:ascii="Georgia" w:eastAsia="Times New Roman" w:hAnsi="Georgia" w:cs="Times New Roman"/>
          <w:color w:val="333333"/>
        </w:rPr>
      </w:pPr>
      <w:r w:rsidRPr="00D84BEC">
        <w:rPr>
          <w:rFonts w:ascii="Georgia" w:eastAsia="Times New Roman" w:hAnsi="Georgia" w:cs="Times New Roman"/>
          <w:color w:val="333333"/>
        </w:rPr>
        <w:t>Stems should be grammatically complete.</w:t>
      </w:r>
    </w:p>
    <w:p w14:paraId="3A16E77D" w14:textId="77777777" w:rsidR="00841F65" w:rsidRPr="00D84BEC" w:rsidRDefault="00841F65" w:rsidP="00B335F5">
      <w:pPr>
        <w:numPr>
          <w:ilvl w:val="0"/>
          <w:numId w:val="1"/>
        </w:numPr>
        <w:spacing w:before="100" w:beforeAutospacing="1" w:after="100" w:afterAutospacing="1" w:line="300" w:lineRule="exact"/>
        <w:ind w:left="810"/>
        <w:jc w:val="left"/>
        <w:rPr>
          <w:rFonts w:ascii="Georgia" w:eastAsia="Times New Roman" w:hAnsi="Georgia" w:cs="Times New Roman"/>
          <w:color w:val="333333"/>
        </w:rPr>
      </w:pPr>
      <w:r w:rsidRPr="00D84BEC">
        <w:rPr>
          <w:rFonts w:ascii="Georgia" w:eastAsia="Times New Roman" w:hAnsi="Georgia" w:cs="Times New Roman"/>
          <w:color w:val="333333"/>
        </w:rPr>
        <w:t>Negative stems should be used with caution.</w:t>
      </w:r>
    </w:p>
    <w:p w14:paraId="1BBB6667" w14:textId="77777777" w:rsidR="00841F65" w:rsidRPr="00D84BEC" w:rsidRDefault="00841F65" w:rsidP="00B335F5">
      <w:pPr>
        <w:numPr>
          <w:ilvl w:val="0"/>
          <w:numId w:val="1"/>
        </w:numPr>
        <w:spacing w:before="100" w:beforeAutospacing="1" w:after="100" w:afterAutospacing="1" w:line="300" w:lineRule="exact"/>
        <w:ind w:left="810"/>
        <w:jc w:val="left"/>
        <w:rPr>
          <w:rFonts w:ascii="Georgia" w:eastAsia="Times New Roman" w:hAnsi="Georgia" w:cs="Times New Roman"/>
          <w:color w:val="333333"/>
        </w:rPr>
      </w:pPr>
      <w:r w:rsidRPr="00D84BEC">
        <w:rPr>
          <w:rFonts w:ascii="Georgia" w:eastAsia="Times New Roman" w:hAnsi="Georgia" w:cs="Times New Roman"/>
          <w:color w:val="333333"/>
        </w:rPr>
        <w:t>If a key word appears consistently in the options, try to move it to the stem.</w:t>
      </w:r>
    </w:p>
    <w:p w14:paraId="7F543589" w14:textId="77777777" w:rsidR="00841F65" w:rsidRPr="00D84BEC" w:rsidRDefault="00841F65" w:rsidP="00B335F5">
      <w:pPr>
        <w:numPr>
          <w:ilvl w:val="0"/>
          <w:numId w:val="1"/>
        </w:numPr>
        <w:spacing w:before="100" w:beforeAutospacing="1" w:after="100" w:afterAutospacing="1" w:line="300" w:lineRule="exact"/>
        <w:ind w:left="810"/>
        <w:jc w:val="left"/>
        <w:rPr>
          <w:rFonts w:ascii="Georgia" w:eastAsia="Times New Roman" w:hAnsi="Georgia" w:cs="Times New Roman"/>
          <w:color w:val="333333"/>
        </w:rPr>
      </w:pPr>
      <w:r w:rsidRPr="00D84BEC">
        <w:rPr>
          <w:rFonts w:ascii="Georgia" w:eastAsia="Times New Roman" w:hAnsi="Georgia" w:cs="Times New Roman"/>
          <w:color w:val="333333"/>
        </w:rPr>
        <w:t>Word the stem such that one option is indisputably correct.</w:t>
      </w:r>
    </w:p>
    <w:p w14:paraId="5C96CAD8" w14:textId="77777777" w:rsidR="00841F65" w:rsidRPr="00D84BEC" w:rsidRDefault="00841F65" w:rsidP="00B335F5">
      <w:pPr>
        <w:spacing w:before="100" w:beforeAutospacing="1" w:after="100" w:afterAutospacing="1" w:line="300" w:lineRule="exact"/>
        <w:ind w:left="270"/>
        <w:rPr>
          <w:rFonts w:ascii="Georgia" w:hAnsi="Georgia" w:cs="Times New Roman"/>
          <w:color w:val="333333"/>
        </w:rPr>
      </w:pPr>
      <w:r w:rsidRPr="00D84BEC">
        <w:rPr>
          <w:rFonts w:ascii="Georgia" w:hAnsi="Georgia" w:cs="Times New Roman"/>
          <w:color w:val="333333"/>
        </w:rPr>
        <w:t>For creating </w:t>
      </w:r>
      <w:r w:rsidRPr="00D84BEC">
        <w:rPr>
          <w:rFonts w:ascii="Georgia" w:hAnsi="Georgia" w:cs="Times New Roman"/>
          <w:color w:val="333333"/>
          <w:u w:val="single"/>
        </w:rPr>
        <w:t>good options</w:t>
      </w:r>
      <w:r w:rsidRPr="00D84BEC">
        <w:rPr>
          <w:rFonts w:ascii="Georgia" w:hAnsi="Georgia" w:cs="Times New Roman"/>
          <w:color w:val="333333"/>
        </w:rPr>
        <w:t>, consider following rules:</w:t>
      </w:r>
    </w:p>
    <w:p w14:paraId="1FF0A6E6" w14:textId="77777777" w:rsidR="00841F65" w:rsidRPr="00D84BEC" w:rsidRDefault="00841F65" w:rsidP="00B335F5">
      <w:pPr>
        <w:numPr>
          <w:ilvl w:val="0"/>
          <w:numId w:val="2"/>
        </w:numPr>
        <w:spacing w:before="100" w:beforeAutospacing="1" w:after="100" w:afterAutospacing="1" w:line="300" w:lineRule="exact"/>
        <w:jc w:val="left"/>
        <w:rPr>
          <w:rFonts w:ascii="Georgia" w:eastAsia="Times New Roman" w:hAnsi="Georgia" w:cs="Times New Roman"/>
          <w:color w:val="333333"/>
        </w:rPr>
      </w:pPr>
      <w:r w:rsidRPr="00D84BEC">
        <w:rPr>
          <w:rFonts w:ascii="Georgia" w:eastAsia="Times New Roman" w:hAnsi="Georgia" w:cs="Times New Roman"/>
          <w:color w:val="333333"/>
        </w:rPr>
        <w:t>Make sure each incorrect option is plausible but clearly incorrect.</w:t>
      </w:r>
    </w:p>
    <w:p w14:paraId="6E3F84A4" w14:textId="77777777" w:rsidR="00841F65" w:rsidRPr="00D84BEC" w:rsidRDefault="00841F65" w:rsidP="00B335F5">
      <w:pPr>
        <w:numPr>
          <w:ilvl w:val="0"/>
          <w:numId w:val="2"/>
        </w:numPr>
        <w:spacing w:before="100" w:beforeAutospacing="1" w:after="100" w:afterAutospacing="1" w:line="300" w:lineRule="exact"/>
        <w:jc w:val="left"/>
        <w:rPr>
          <w:rFonts w:ascii="Georgia" w:eastAsia="Times New Roman" w:hAnsi="Georgia" w:cs="Times New Roman"/>
          <w:color w:val="333333"/>
        </w:rPr>
      </w:pPr>
      <w:r w:rsidRPr="00D84BEC">
        <w:rPr>
          <w:rFonts w:ascii="Georgia" w:eastAsia="Times New Roman" w:hAnsi="Georgia" w:cs="Times New Roman"/>
          <w:color w:val="333333"/>
        </w:rPr>
        <w:t>Make sure that the correct answer (keyed response) is clearly the best.</w:t>
      </w:r>
    </w:p>
    <w:p w14:paraId="15D08589" w14:textId="77777777" w:rsidR="00841F65" w:rsidRPr="00D84BEC" w:rsidRDefault="00841F65" w:rsidP="00B335F5">
      <w:pPr>
        <w:numPr>
          <w:ilvl w:val="0"/>
          <w:numId w:val="2"/>
        </w:numPr>
        <w:spacing w:before="100" w:beforeAutospacing="1" w:after="100" w:afterAutospacing="1" w:line="300" w:lineRule="exact"/>
        <w:jc w:val="left"/>
        <w:rPr>
          <w:rFonts w:ascii="Georgia" w:eastAsia="Times New Roman" w:hAnsi="Georgia" w:cs="Times New Roman"/>
          <w:color w:val="333333"/>
        </w:rPr>
      </w:pPr>
      <w:r w:rsidRPr="00D84BEC">
        <w:rPr>
          <w:rFonts w:ascii="Georgia" w:eastAsia="Times New Roman" w:hAnsi="Georgia" w:cs="Times New Roman"/>
          <w:color w:val="333333"/>
        </w:rPr>
        <w:t>Avoid, if possible, using “all of the above”.</w:t>
      </w:r>
    </w:p>
    <w:p w14:paraId="7B9F9948" w14:textId="77777777" w:rsidR="00841F65" w:rsidRPr="00D84BEC" w:rsidRDefault="00841F65" w:rsidP="00B335F5">
      <w:pPr>
        <w:numPr>
          <w:ilvl w:val="0"/>
          <w:numId w:val="2"/>
        </w:numPr>
        <w:spacing w:before="100" w:beforeAutospacing="1" w:after="100" w:afterAutospacing="1" w:line="300" w:lineRule="exact"/>
        <w:jc w:val="left"/>
        <w:rPr>
          <w:rFonts w:ascii="Georgia" w:eastAsia="Times New Roman" w:hAnsi="Georgia" w:cs="Times New Roman"/>
          <w:color w:val="333333"/>
        </w:rPr>
      </w:pPr>
      <w:r w:rsidRPr="00D84BEC">
        <w:rPr>
          <w:rFonts w:ascii="Georgia" w:eastAsia="Times New Roman" w:hAnsi="Georgia" w:cs="Times New Roman"/>
          <w:color w:val="333333"/>
        </w:rPr>
        <w:t>Use “none of the above” with caution.</w:t>
      </w:r>
    </w:p>
    <w:p w14:paraId="34C8480F" w14:textId="77777777" w:rsidR="00841F65" w:rsidRPr="00D84BEC" w:rsidRDefault="00841F65" w:rsidP="00B335F5">
      <w:pPr>
        <w:numPr>
          <w:ilvl w:val="0"/>
          <w:numId w:val="2"/>
        </w:numPr>
        <w:spacing w:before="100" w:beforeAutospacing="1" w:after="100" w:afterAutospacing="1" w:line="300" w:lineRule="exact"/>
        <w:jc w:val="left"/>
        <w:rPr>
          <w:rFonts w:ascii="Georgia" w:eastAsia="Times New Roman" w:hAnsi="Georgia" w:cs="Times New Roman"/>
          <w:color w:val="333333"/>
        </w:rPr>
      </w:pPr>
      <w:r w:rsidRPr="00D84BEC">
        <w:rPr>
          <w:rFonts w:ascii="Georgia" w:eastAsia="Times New Roman" w:hAnsi="Georgia" w:cs="Times New Roman"/>
          <w:color w:val="333333"/>
        </w:rPr>
        <w:t>Try to keep options similar lengths, since test-wise students will pick the longest option if unsure       (too long to be wrong).</w:t>
      </w:r>
    </w:p>
    <w:p w14:paraId="02812651" w14:textId="77777777" w:rsidR="00841F65" w:rsidRPr="00D84BEC" w:rsidRDefault="00841F65" w:rsidP="00B335F5">
      <w:pPr>
        <w:numPr>
          <w:ilvl w:val="0"/>
          <w:numId w:val="2"/>
        </w:numPr>
        <w:spacing w:before="100" w:beforeAutospacing="1" w:after="100" w:afterAutospacing="1" w:line="300" w:lineRule="exact"/>
        <w:jc w:val="left"/>
        <w:rPr>
          <w:rFonts w:ascii="Georgia" w:eastAsia="Times New Roman" w:hAnsi="Georgia" w:cs="Times New Roman"/>
          <w:color w:val="333333"/>
        </w:rPr>
      </w:pPr>
      <w:r w:rsidRPr="00D84BEC">
        <w:rPr>
          <w:rFonts w:ascii="Georgia" w:eastAsia="Times New Roman" w:hAnsi="Georgia" w:cs="Times New Roman"/>
          <w:color w:val="333333"/>
        </w:rPr>
        <w:t>Make sure options are grammatically consistent with the stem (question leader) and use parallelism.</w:t>
      </w:r>
    </w:p>
    <w:p w14:paraId="2FA7B41D" w14:textId="77777777" w:rsidR="00841F65" w:rsidRPr="00D84BEC" w:rsidRDefault="00841F65" w:rsidP="00B335F5">
      <w:pPr>
        <w:numPr>
          <w:ilvl w:val="0"/>
          <w:numId w:val="2"/>
        </w:numPr>
        <w:spacing w:before="100" w:beforeAutospacing="1" w:after="100" w:afterAutospacing="1" w:line="300" w:lineRule="exact"/>
        <w:jc w:val="left"/>
        <w:rPr>
          <w:rFonts w:ascii="Georgia" w:eastAsia="Times New Roman" w:hAnsi="Georgia" w:cs="Times New Roman"/>
          <w:color w:val="333333"/>
        </w:rPr>
      </w:pPr>
      <w:r w:rsidRPr="00D84BEC">
        <w:rPr>
          <w:rFonts w:ascii="Georgia" w:eastAsia="Times New Roman" w:hAnsi="Georgia" w:cs="Times New Roman"/>
          <w:color w:val="333333"/>
        </w:rPr>
        <w:t>Make sure that numerical answers are placed in numerical order, either ascending or descending.</w:t>
      </w:r>
    </w:p>
    <w:p w14:paraId="4FB58957" w14:textId="77777777" w:rsidR="00841F65" w:rsidRPr="00D84BEC" w:rsidRDefault="00841F65" w:rsidP="00B335F5">
      <w:pPr>
        <w:spacing w:before="100" w:beforeAutospacing="1" w:after="100" w:afterAutospacing="1" w:line="300" w:lineRule="exact"/>
        <w:ind w:left="270"/>
        <w:rPr>
          <w:rFonts w:ascii="Georgia" w:hAnsi="Georgia" w:cs="Times New Roman"/>
          <w:color w:val="333333"/>
        </w:rPr>
      </w:pPr>
      <w:r w:rsidRPr="00D84BEC">
        <w:rPr>
          <w:rFonts w:ascii="Georgia" w:hAnsi="Georgia" w:cs="Times New Roman"/>
          <w:color w:val="333333"/>
        </w:rPr>
        <w:t>Well-constructed multiple-choice questions are not easy to create. But the quality of the multiple-choice questions you use in your Team Test can make or break the tone of your class. Nothing is more uncomfortable than rushing poor questions to the classroom and having to endure the inevitable student backlash. Good questions are absolutely essential to our success, and putting in the effort to write good questions is worth your time and attention.</w:t>
      </w:r>
    </w:p>
    <w:p w14:paraId="0262A00E" w14:textId="791A0045" w:rsidR="00841F65" w:rsidRPr="005A3D76" w:rsidRDefault="00841F65" w:rsidP="00B335F5">
      <w:pPr>
        <w:spacing w:before="100" w:beforeAutospacing="1" w:after="100" w:afterAutospacing="1" w:line="300" w:lineRule="exact"/>
        <w:ind w:left="270"/>
        <w:rPr>
          <w:rFonts w:ascii="Georgia" w:hAnsi="Georgia" w:cs="Times New Roman"/>
          <w:color w:val="333333"/>
        </w:rPr>
      </w:pPr>
      <w:r w:rsidRPr="00D84BEC">
        <w:rPr>
          <w:rFonts w:ascii="Georgia" w:hAnsi="Georgia" w:cs="Times New Roman"/>
          <w:color w:val="333333"/>
        </w:rPr>
        <w:t xml:space="preserve">Spend time reviewing and revising your questions. It can be very helpful to have a colleague look at your questions. When we write them we are often too close to see all the mistakes. Just like good writing is about good editing, good </w:t>
      </w:r>
      <w:r w:rsidR="00E25988">
        <w:rPr>
          <w:rFonts w:ascii="Georgia" w:hAnsi="Georgia" w:cs="Times New Roman"/>
          <w:color w:val="333333"/>
        </w:rPr>
        <w:t xml:space="preserve">MCQ </w:t>
      </w:r>
      <w:r w:rsidRPr="00D84BEC">
        <w:rPr>
          <w:rFonts w:ascii="Georgia" w:hAnsi="Georgia" w:cs="Times New Roman"/>
          <w:color w:val="333333"/>
        </w:rPr>
        <w:t>questions are about reflection and revision</w:t>
      </w:r>
    </w:p>
    <w:p w14:paraId="4709D288" w14:textId="77777777" w:rsidR="00256A8F" w:rsidRDefault="00256A8F">
      <w:pPr>
        <w:spacing w:line="276" w:lineRule="auto"/>
        <w:jc w:val="left"/>
        <w:rPr>
          <w:rStyle w:val="IntenseReference"/>
        </w:rPr>
      </w:pPr>
      <w:r>
        <w:rPr>
          <w:rStyle w:val="IntenseReference"/>
        </w:rPr>
        <w:br w:type="page"/>
      </w:r>
    </w:p>
    <w:p w14:paraId="4F61F5AB" w14:textId="3B36F961" w:rsidR="009506FC" w:rsidRPr="005A3D76" w:rsidRDefault="002531BD" w:rsidP="00127DAA">
      <w:pPr>
        <w:spacing w:before="100" w:beforeAutospacing="1" w:after="100" w:afterAutospacing="1" w:line="240" w:lineRule="auto"/>
        <w:rPr>
          <w:rStyle w:val="IntenseReference"/>
        </w:rPr>
      </w:pPr>
      <w:r>
        <w:rPr>
          <w:rStyle w:val="IntenseReference"/>
        </w:rPr>
        <w:lastRenderedPageBreak/>
        <w:t>Question Level mix on RAP tests</w:t>
      </w:r>
    </w:p>
    <w:p w14:paraId="4D0679F0" w14:textId="77777777" w:rsidR="002531BD" w:rsidRDefault="002531BD" w:rsidP="00B335F5">
      <w:pPr>
        <w:spacing w:line="300" w:lineRule="exact"/>
        <w:ind w:left="274"/>
      </w:pPr>
      <w:r w:rsidRPr="002531BD">
        <w:t>Write your RAP multiple-choice questions</w:t>
      </w:r>
      <w:r w:rsidRPr="00E247D8">
        <w:t xml:space="preserve"> at </w:t>
      </w:r>
      <w:r>
        <w:t>Bloom’s R</w:t>
      </w:r>
      <w:r w:rsidRPr="00E247D8">
        <w:t>emember,</w:t>
      </w:r>
      <w:r>
        <w:t xml:space="preserve"> Understand, and light A</w:t>
      </w:r>
      <w:r w:rsidRPr="00E247D8">
        <w:t>pplication</w:t>
      </w:r>
      <w:r>
        <w:t xml:space="preserve"> level of difficulty. T</w:t>
      </w:r>
      <w:r w:rsidRPr="00E247D8">
        <w:t xml:space="preserve">his is not </w:t>
      </w:r>
      <w:r>
        <w:t xml:space="preserve">about </w:t>
      </w:r>
      <w:r w:rsidRPr="00E247D8">
        <w:t>test</w:t>
      </w:r>
      <w:r>
        <w:t>ing</w:t>
      </w:r>
      <w:r w:rsidRPr="00E247D8">
        <w:t xml:space="preserve"> all that students will learn in the module, </w:t>
      </w:r>
      <w:r>
        <w:t xml:space="preserve">but </w:t>
      </w:r>
      <w:r w:rsidRPr="00472200">
        <w:t>instead only what they need to begin effectively problem-solving (4S Application Activities). It is important to pitch the RAT at the right level to encourage students to engage deeply but not so difficult that they lose heart.</w:t>
      </w:r>
    </w:p>
    <w:p w14:paraId="64AEE3AC" w14:textId="77777777" w:rsidR="002531BD" w:rsidRDefault="002531BD" w:rsidP="00B335F5">
      <w:pPr>
        <w:spacing w:line="300" w:lineRule="exact"/>
        <w:ind w:left="270"/>
      </w:pPr>
    </w:p>
    <w:p w14:paraId="204D9122" w14:textId="77777777" w:rsidR="009506FC" w:rsidRDefault="009506FC" w:rsidP="00B335F5">
      <w:pPr>
        <w:spacing w:line="300" w:lineRule="exact"/>
        <w:ind w:left="274"/>
        <w:rPr>
          <w:rFonts w:ascii="Georgia" w:hAnsi="Georgia" w:cs="Times New Roman"/>
          <w:color w:val="333333"/>
        </w:rPr>
      </w:pPr>
      <w:r w:rsidRPr="00D84BEC">
        <w:rPr>
          <w:rFonts w:ascii="Georgia" w:hAnsi="Georgia" w:cs="Times New Roman"/>
          <w:color w:val="333333"/>
        </w:rPr>
        <w:t>The test should be a mix of approximately 20% remembering (did you do the readings?), approximately 60% understanding (did you understand what you read?)</w:t>
      </w:r>
      <w:r>
        <w:rPr>
          <w:rFonts w:ascii="Georgia" w:hAnsi="Georgia" w:cs="Times New Roman"/>
          <w:color w:val="333333"/>
        </w:rPr>
        <w:t>, and finally, 20% application,</w:t>
      </w:r>
      <w:r w:rsidRPr="00D84BEC">
        <w:rPr>
          <w:rFonts w:ascii="Georgia" w:hAnsi="Georgia" w:cs="Times New Roman"/>
          <w:color w:val="333333"/>
        </w:rPr>
        <w:t xml:space="preserve"> The application questions can be in the form of “which concept applies to this situation” (are you ready to use what you have read?). To use a book analogy, you want to write these tests more at the table-of-contents level then at the index level.</w:t>
      </w:r>
    </w:p>
    <w:p w14:paraId="246127CF" w14:textId="77777777" w:rsidR="002531BD" w:rsidRPr="00D84BEC" w:rsidRDefault="002531BD" w:rsidP="00B335F5">
      <w:pPr>
        <w:spacing w:line="300" w:lineRule="exact"/>
        <w:ind w:left="274"/>
        <w:rPr>
          <w:rFonts w:ascii="Georgia" w:hAnsi="Georgia" w:cs="Times New Roman"/>
          <w:color w:val="333333"/>
        </w:rPr>
      </w:pPr>
    </w:p>
    <w:p w14:paraId="7CDDE32C" w14:textId="594974D4" w:rsidR="002531BD" w:rsidRDefault="009506FC" w:rsidP="00B335F5">
      <w:pPr>
        <w:spacing w:line="300" w:lineRule="exact"/>
        <w:ind w:left="274"/>
        <w:rPr>
          <w:rFonts w:ascii="Georgia" w:hAnsi="Georgia" w:cs="Times New Roman"/>
          <w:color w:val="333333"/>
        </w:rPr>
      </w:pPr>
      <w:r w:rsidRPr="00D84BEC">
        <w:rPr>
          <w:rFonts w:ascii="Georgia" w:hAnsi="Georgia" w:cs="Times New Roman"/>
          <w:color w:val="333333"/>
        </w:rPr>
        <w:t>You can include a few simpler questions that just provide simple accountability that the student has completed the readings. Try to ask about topics that students are likely to interpret incorrectly. Test common misconceptions that might undermine students’ ability to successfully begin problem-solving. You can ask which concept applies to a given situation or scenario. You can focus on the relationship between concepts; this is an efficient way to test two concepts at once.</w:t>
      </w:r>
    </w:p>
    <w:p w14:paraId="6760FE40" w14:textId="0F06D36A" w:rsidR="002531BD" w:rsidRDefault="002531BD" w:rsidP="00127DAA">
      <w:pPr>
        <w:spacing w:before="100" w:beforeAutospacing="1" w:after="100" w:afterAutospacing="1" w:line="240" w:lineRule="auto"/>
        <w:rPr>
          <w:rStyle w:val="IntenseReference"/>
        </w:rPr>
      </w:pPr>
      <w:r w:rsidRPr="002531BD">
        <w:rPr>
          <w:rStyle w:val="IntenseReference"/>
        </w:rPr>
        <w:t>Getting ready for Class</w:t>
      </w:r>
    </w:p>
    <w:p w14:paraId="78580B1A" w14:textId="21AEA1AE" w:rsidR="002531BD" w:rsidRDefault="002531BD" w:rsidP="00B335F5">
      <w:pPr>
        <w:spacing w:line="300" w:lineRule="exact"/>
        <w:ind w:left="274"/>
      </w:pPr>
      <w:r>
        <w:rPr>
          <w:u w:val="single"/>
        </w:rPr>
        <w:t>K</w:t>
      </w:r>
      <w:r w:rsidRPr="00575754">
        <w:rPr>
          <w:u w:val="single"/>
        </w:rPr>
        <w:t xml:space="preserve">ey the </w:t>
      </w:r>
      <w:r w:rsidRPr="002531BD">
        <w:rPr>
          <w:u w:val="single"/>
        </w:rPr>
        <w:t>test to the IF-AT</w:t>
      </w:r>
      <w:r>
        <w:t xml:space="preserve"> scratch cards by moving the correct answers to line up with stars on cards.</w:t>
      </w:r>
      <w:r w:rsidR="00127DAA">
        <w:t xml:space="preserve"> Count out IF-AT cards (one for each team, plus a few extra’s). Print</w:t>
      </w:r>
      <w:r>
        <w:t xml:space="preserve"> the RAP tests</w:t>
      </w:r>
      <w:r w:rsidR="00127DAA">
        <w:t xml:space="preserve"> and answer form</w:t>
      </w:r>
      <w:r>
        <w:t xml:space="preserve"> and </w:t>
      </w:r>
      <w:r w:rsidR="00127DAA">
        <w:t>then load them into the</w:t>
      </w:r>
      <w:r>
        <w:t xml:space="preserve"> team</w:t>
      </w:r>
      <w:r w:rsidRPr="007144D4">
        <w:t xml:space="preserve"> folder</w:t>
      </w:r>
      <w:r w:rsidR="00127DAA">
        <w:t>s (one</w:t>
      </w:r>
      <w:r w:rsidRPr="007144D4">
        <w:t xml:space="preserve"> for each team</w:t>
      </w:r>
      <w:r w:rsidR="00127DAA">
        <w:t>)</w:t>
      </w:r>
      <w:r>
        <w:t>. Each folder contains a test for each student, an answer card for iRAT (</w:t>
      </w:r>
      <w:r w:rsidR="00127DAA">
        <w:t xml:space="preserve">printed form, </w:t>
      </w:r>
      <w:r>
        <w:t>scantron</w:t>
      </w:r>
      <w:r w:rsidR="00127DAA">
        <w:t>,</w:t>
      </w:r>
      <w:r>
        <w:t xml:space="preserve"> or online systems can be used in large classes) and one appeals form. We normally keep</w:t>
      </w:r>
      <w:r w:rsidR="00127DAA">
        <w:t xml:space="preserve"> IF-ATs</w:t>
      </w:r>
      <w:r>
        <w:t xml:space="preserve"> at front of class (not in folders). Teams bring up all their iRAT answer sheets at end of iRAT time and trade it for the</w:t>
      </w:r>
      <w:r w:rsidR="00127DAA">
        <w:t>ir</w:t>
      </w:r>
      <w:r>
        <w:t xml:space="preserve"> IF-AT card.</w:t>
      </w:r>
    </w:p>
    <w:p w14:paraId="13E94E25" w14:textId="77777777" w:rsidR="002531BD" w:rsidRPr="002531BD" w:rsidRDefault="002531BD" w:rsidP="00127DAA">
      <w:pPr>
        <w:spacing w:before="100" w:beforeAutospacing="1" w:after="100" w:afterAutospacing="1" w:line="240" w:lineRule="auto"/>
        <w:ind w:left="270"/>
        <w:rPr>
          <w:rStyle w:val="IntenseReference"/>
        </w:rPr>
      </w:pPr>
    </w:p>
    <w:p w14:paraId="379D0C63" w14:textId="33E6A4A1" w:rsidR="005A3D76" w:rsidRPr="00D84BEC" w:rsidRDefault="005A3D76" w:rsidP="00127DAA">
      <w:pPr>
        <w:spacing w:before="100" w:beforeAutospacing="1" w:after="100" w:afterAutospacing="1" w:line="240" w:lineRule="auto"/>
        <w:ind w:left="270"/>
        <w:rPr>
          <w:rFonts w:ascii="Georgia" w:hAnsi="Georgia" w:cs="Times New Roman"/>
          <w:color w:val="333333"/>
        </w:rPr>
      </w:pPr>
    </w:p>
    <w:sectPr w:rsidR="005A3D76" w:rsidRPr="00D84BEC" w:rsidSect="005A3D76">
      <w:footerReference w:type="default" r:id="rId9"/>
      <w:pgSz w:w="12240" w:h="15840"/>
      <w:pgMar w:top="1440" w:right="189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B335F5" w:rsidRDefault="00B335F5">
      <w:pPr>
        <w:spacing w:line="240" w:lineRule="auto"/>
      </w:pPr>
      <w:r>
        <w:separator/>
      </w:r>
    </w:p>
  </w:endnote>
  <w:endnote w:type="continuationSeparator" w:id="0">
    <w:p w14:paraId="13F5ADE0" w14:textId="77777777" w:rsidR="00B335F5" w:rsidRDefault="00B33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B335F5" w:rsidRPr="006C22EB" w:rsidRDefault="00B335F5"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B335F5" w:rsidRDefault="00B335F5">
      <w:pPr>
        <w:spacing w:line="240" w:lineRule="auto"/>
      </w:pPr>
      <w:r>
        <w:separator/>
      </w:r>
    </w:p>
  </w:footnote>
  <w:footnote w:type="continuationSeparator" w:id="0">
    <w:p w14:paraId="60DB40B2" w14:textId="77777777" w:rsidR="00B335F5" w:rsidRDefault="00B335F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4D93"/>
    <w:multiLevelType w:val="hybridMultilevel"/>
    <w:tmpl w:val="8948F176"/>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19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E3BD0"/>
    <w:multiLevelType w:val="hybridMultilevel"/>
    <w:tmpl w:val="95B83BF6"/>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2FFE4E83"/>
    <w:multiLevelType w:val="multilevel"/>
    <w:tmpl w:val="787E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C4FC4"/>
    <w:multiLevelType w:val="hybridMultilevel"/>
    <w:tmpl w:val="AD22928E"/>
    <w:lvl w:ilvl="0" w:tplc="04090017">
      <w:start w:val="1"/>
      <w:numFmt w:val="lowerLetter"/>
      <w:lvlText w:val="%1)"/>
      <w:lvlJc w:val="left"/>
      <w:pPr>
        <w:ind w:left="2205" w:hanging="360"/>
      </w:pPr>
    </w:lvl>
    <w:lvl w:ilvl="1" w:tplc="04090019">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nsid w:val="69262CBC"/>
    <w:multiLevelType w:val="hybridMultilevel"/>
    <w:tmpl w:val="E3667A7C"/>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76724776"/>
    <w:multiLevelType w:val="multilevel"/>
    <w:tmpl w:val="9AD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D5785"/>
    <w:multiLevelType w:val="hybridMultilevel"/>
    <w:tmpl w:val="87600980"/>
    <w:lvl w:ilvl="0" w:tplc="04090017">
      <w:start w:val="1"/>
      <w:numFmt w:val="lowerLetter"/>
      <w:lvlText w:val="%1)"/>
      <w:lvlJc w:val="lef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111B4A"/>
    <w:rsid w:val="00127DAA"/>
    <w:rsid w:val="00175D88"/>
    <w:rsid w:val="001B5C6E"/>
    <w:rsid w:val="001D4EF8"/>
    <w:rsid w:val="00202C32"/>
    <w:rsid w:val="00206E6F"/>
    <w:rsid w:val="00237684"/>
    <w:rsid w:val="002531BD"/>
    <w:rsid w:val="00256A8F"/>
    <w:rsid w:val="002769D4"/>
    <w:rsid w:val="002A2312"/>
    <w:rsid w:val="002B6CF1"/>
    <w:rsid w:val="002C16ED"/>
    <w:rsid w:val="002D0676"/>
    <w:rsid w:val="002E4BD1"/>
    <w:rsid w:val="002F2457"/>
    <w:rsid w:val="002F4355"/>
    <w:rsid w:val="002F5340"/>
    <w:rsid w:val="002F56DF"/>
    <w:rsid w:val="003376CA"/>
    <w:rsid w:val="003434D7"/>
    <w:rsid w:val="00366EA6"/>
    <w:rsid w:val="00376316"/>
    <w:rsid w:val="003E5596"/>
    <w:rsid w:val="004027B5"/>
    <w:rsid w:val="0040517B"/>
    <w:rsid w:val="004174CE"/>
    <w:rsid w:val="00460198"/>
    <w:rsid w:val="004B3084"/>
    <w:rsid w:val="004E1EDD"/>
    <w:rsid w:val="004E55D0"/>
    <w:rsid w:val="004F2483"/>
    <w:rsid w:val="00511F57"/>
    <w:rsid w:val="00515986"/>
    <w:rsid w:val="00532DF2"/>
    <w:rsid w:val="00563C89"/>
    <w:rsid w:val="00571D0C"/>
    <w:rsid w:val="00597BAE"/>
    <w:rsid w:val="005A3D76"/>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5603"/>
    <w:rsid w:val="00783F07"/>
    <w:rsid w:val="007B4403"/>
    <w:rsid w:val="007D0501"/>
    <w:rsid w:val="00801BD6"/>
    <w:rsid w:val="00841F65"/>
    <w:rsid w:val="00847B6F"/>
    <w:rsid w:val="00884AAC"/>
    <w:rsid w:val="00897FDB"/>
    <w:rsid w:val="008A1E42"/>
    <w:rsid w:val="008A3665"/>
    <w:rsid w:val="008C75C4"/>
    <w:rsid w:val="008F059F"/>
    <w:rsid w:val="008F65F5"/>
    <w:rsid w:val="00914164"/>
    <w:rsid w:val="009373D8"/>
    <w:rsid w:val="009506FC"/>
    <w:rsid w:val="0097245F"/>
    <w:rsid w:val="009919BD"/>
    <w:rsid w:val="00AC1229"/>
    <w:rsid w:val="00AE0347"/>
    <w:rsid w:val="00B129B5"/>
    <w:rsid w:val="00B32765"/>
    <w:rsid w:val="00B335F5"/>
    <w:rsid w:val="00B4592D"/>
    <w:rsid w:val="00B53A74"/>
    <w:rsid w:val="00B579F9"/>
    <w:rsid w:val="00B955FB"/>
    <w:rsid w:val="00BB054A"/>
    <w:rsid w:val="00BC6BF2"/>
    <w:rsid w:val="00BD1390"/>
    <w:rsid w:val="00BD5829"/>
    <w:rsid w:val="00BF418B"/>
    <w:rsid w:val="00C12E94"/>
    <w:rsid w:val="00C2512F"/>
    <w:rsid w:val="00C25B17"/>
    <w:rsid w:val="00C33676"/>
    <w:rsid w:val="00C4024C"/>
    <w:rsid w:val="00C578D1"/>
    <w:rsid w:val="00C60467"/>
    <w:rsid w:val="00C74D18"/>
    <w:rsid w:val="00C7571C"/>
    <w:rsid w:val="00C76D8A"/>
    <w:rsid w:val="00C83D3D"/>
    <w:rsid w:val="00C866DC"/>
    <w:rsid w:val="00CE2D38"/>
    <w:rsid w:val="00CF1BAC"/>
    <w:rsid w:val="00D03B95"/>
    <w:rsid w:val="00D244D2"/>
    <w:rsid w:val="00D6285A"/>
    <w:rsid w:val="00D74291"/>
    <w:rsid w:val="00D909C6"/>
    <w:rsid w:val="00E07901"/>
    <w:rsid w:val="00E07E31"/>
    <w:rsid w:val="00E208E3"/>
    <w:rsid w:val="00E25988"/>
    <w:rsid w:val="00E337F9"/>
    <w:rsid w:val="00E358F2"/>
    <w:rsid w:val="00E373ED"/>
    <w:rsid w:val="00E53DAE"/>
    <w:rsid w:val="00E72D2D"/>
    <w:rsid w:val="00E84704"/>
    <w:rsid w:val="00E9681A"/>
    <w:rsid w:val="00EE78B7"/>
    <w:rsid w:val="00F01A1E"/>
    <w:rsid w:val="00F11466"/>
    <w:rsid w:val="00F117D9"/>
    <w:rsid w:val="00F142A2"/>
    <w:rsid w:val="00F945DE"/>
    <w:rsid w:val="00FA0F24"/>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99"/>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SubtleReference">
    <w:name w:val="Subtle Reference"/>
    <w:basedOn w:val="DefaultParagraphFont"/>
    <w:uiPriority w:val="31"/>
    <w:qFormat/>
    <w:rsid w:val="002531BD"/>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99"/>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SubtleReference">
    <w:name w:val="Subtle Reference"/>
    <w:basedOn w:val="DefaultParagraphFont"/>
    <w:uiPriority w:val="31"/>
    <w:qFormat/>
    <w:rsid w:val="002531B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0C44-43B8-AF42-A20C-7EF42A7D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3</cp:revision>
  <cp:lastPrinted>2015-09-10T23:52:00Z</cp:lastPrinted>
  <dcterms:created xsi:type="dcterms:W3CDTF">2017-04-18T21:01:00Z</dcterms:created>
  <dcterms:modified xsi:type="dcterms:W3CDTF">2017-04-18T21:02:00Z</dcterms:modified>
</cp:coreProperties>
</file>