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8FD2D" w14:textId="6B8006DE" w:rsidR="000C1CB3" w:rsidRDefault="000C1CB3" w:rsidP="00727DCD">
      <w:pPr>
        <w:rPr>
          <w:rFonts w:ascii="Arial" w:hAnsi="Arial"/>
          <w:b/>
          <w:sz w:val="24"/>
          <w:szCs w:val="24"/>
          <w:u w:val="single"/>
        </w:rPr>
      </w:pPr>
      <w:r w:rsidRPr="00412C62">
        <w:rPr>
          <w:rFonts w:ascii="Arial" w:hAnsi="Arial"/>
          <w:b/>
          <w:sz w:val="24"/>
          <w:szCs w:val="24"/>
          <w:u w:val="single"/>
        </w:rPr>
        <w:t>Readiness Assurance Test – Learning about Learning</w:t>
      </w:r>
    </w:p>
    <w:p w14:paraId="544E7869" w14:textId="77777777" w:rsidR="00B91095" w:rsidRPr="00412C62" w:rsidRDefault="00B91095" w:rsidP="00727DCD">
      <w:pPr>
        <w:rPr>
          <w:rFonts w:ascii="Arial" w:hAnsi="Arial"/>
          <w:b/>
          <w:sz w:val="24"/>
          <w:szCs w:val="24"/>
          <w:u w:val="single"/>
        </w:rPr>
      </w:pPr>
    </w:p>
    <w:p w14:paraId="7B355B0B" w14:textId="77777777" w:rsidR="000C1CB3" w:rsidRPr="000C1CB3" w:rsidRDefault="000C1CB3" w:rsidP="00727DCD"/>
    <w:p w14:paraId="36FDAA33" w14:textId="74B12095" w:rsidR="000C1CB3" w:rsidRPr="000C1CB3" w:rsidRDefault="000C1CB3" w:rsidP="00727DCD">
      <w:pPr>
        <w:rPr>
          <w:sz w:val="22"/>
          <w:szCs w:val="22"/>
        </w:rPr>
      </w:pPr>
      <w:r w:rsidRPr="000C1CB3">
        <w:rPr>
          <w:sz w:val="22"/>
          <w:szCs w:val="22"/>
        </w:rPr>
        <w:t>1. You have come to believe that students must negotiate a shared understanding of the subject matter to achieve dee</w:t>
      </w:r>
      <w:r>
        <w:rPr>
          <w:sz w:val="22"/>
          <w:szCs w:val="22"/>
        </w:rPr>
        <w:t xml:space="preserve">p learning with understanding. </w:t>
      </w:r>
      <w:r w:rsidRPr="000C1CB3">
        <w:rPr>
          <w:sz w:val="22"/>
          <w:szCs w:val="22"/>
        </w:rPr>
        <w:t>The process of achieving this enhanced level of understanding through dialogue is best described by which educational theory?</w:t>
      </w:r>
    </w:p>
    <w:p w14:paraId="3C7749F5" w14:textId="77777777" w:rsidR="000C1CB3" w:rsidRPr="000C1CB3" w:rsidRDefault="000C1CB3" w:rsidP="00727DCD">
      <w:pPr>
        <w:rPr>
          <w:sz w:val="22"/>
          <w:szCs w:val="22"/>
        </w:rPr>
      </w:pPr>
    </w:p>
    <w:p w14:paraId="475D1744" w14:textId="77777777" w:rsidR="000C1CB3" w:rsidRPr="000C1CB3" w:rsidRDefault="000C1CB3" w:rsidP="00727DCD">
      <w:pPr>
        <w:pStyle w:val="ListParagraph"/>
        <w:numPr>
          <w:ilvl w:val="0"/>
          <w:numId w:val="1"/>
        </w:numPr>
        <w:ind w:left="720"/>
        <w:rPr>
          <w:sz w:val="22"/>
          <w:szCs w:val="22"/>
        </w:rPr>
      </w:pPr>
      <w:r w:rsidRPr="000C1CB3">
        <w:rPr>
          <w:sz w:val="22"/>
          <w:szCs w:val="22"/>
        </w:rPr>
        <w:t xml:space="preserve">Behaviourism </w:t>
      </w:r>
    </w:p>
    <w:p w14:paraId="59526EAF" w14:textId="77777777" w:rsidR="000C1CB3" w:rsidRPr="000C1CB3" w:rsidRDefault="000C1CB3" w:rsidP="00727DCD">
      <w:pPr>
        <w:pStyle w:val="ListParagraph"/>
        <w:numPr>
          <w:ilvl w:val="0"/>
          <w:numId w:val="1"/>
        </w:numPr>
        <w:ind w:left="720"/>
        <w:rPr>
          <w:sz w:val="22"/>
          <w:szCs w:val="22"/>
        </w:rPr>
      </w:pPr>
      <w:r w:rsidRPr="000C1CB3">
        <w:rPr>
          <w:sz w:val="22"/>
          <w:szCs w:val="22"/>
        </w:rPr>
        <w:t>Constructivism</w:t>
      </w:r>
    </w:p>
    <w:p w14:paraId="4A6D0764" w14:textId="77777777" w:rsidR="000C1CB3" w:rsidRPr="000C1CB3" w:rsidRDefault="000C1CB3" w:rsidP="00727DCD">
      <w:pPr>
        <w:pStyle w:val="ListParagraph"/>
        <w:numPr>
          <w:ilvl w:val="0"/>
          <w:numId w:val="1"/>
        </w:numPr>
        <w:ind w:left="720"/>
        <w:rPr>
          <w:sz w:val="22"/>
          <w:szCs w:val="22"/>
        </w:rPr>
      </w:pPr>
      <w:r w:rsidRPr="000C1CB3">
        <w:rPr>
          <w:sz w:val="22"/>
          <w:szCs w:val="22"/>
        </w:rPr>
        <w:t>Social Dialogue Theory</w:t>
      </w:r>
    </w:p>
    <w:p w14:paraId="53C15CAC" w14:textId="77777777" w:rsidR="000C1CB3" w:rsidRPr="000C1CB3" w:rsidRDefault="000C1CB3" w:rsidP="00727DCD">
      <w:pPr>
        <w:pStyle w:val="ListParagraph"/>
        <w:numPr>
          <w:ilvl w:val="0"/>
          <w:numId w:val="1"/>
        </w:numPr>
        <w:ind w:left="720"/>
        <w:rPr>
          <w:sz w:val="22"/>
          <w:szCs w:val="22"/>
        </w:rPr>
      </w:pPr>
      <w:r w:rsidRPr="000C1CB3">
        <w:rPr>
          <w:sz w:val="22"/>
          <w:szCs w:val="22"/>
        </w:rPr>
        <w:t>Social Constructivism</w:t>
      </w:r>
    </w:p>
    <w:p w14:paraId="3C0D080E" w14:textId="77777777" w:rsidR="000C1CB3" w:rsidRPr="000C1CB3" w:rsidRDefault="000C1CB3" w:rsidP="00727DCD">
      <w:pPr>
        <w:rPr>
          <w:sz w:val="22"/>
          <w:szCs w:val="22"/>
        </w:rPr>
      </w:pPr>
    </w:p>
    <w:p w14:paraId="047A75AB" w14:textId="1E27D74D" w:rsidR="000C1CB3" w:rsidRPr="000C1CB3" w:rsidRDefault="000C1CB3" w:rsidP="00727DCD">
      <w:pPr>
        <w:rPr>
          <w:sz w:val="22"/>
          <w:szCs w:val="22"/>
        </w:rPr>
      </w:pPr>
      <w:r w:rsidRPr="000C1CB3">
        <w:rPr>
          <w:sz w:val="22"/>
          <w:szCs w:val="22"/>
        </w:rPr>
        <w:t>2. You notice that some concepts are much easier for students to learn than others. It seems that concepts that can be incorporated into existing frameworks of understanding are simpler for students to grasp. Concepts that require students to modify or abandon their current framework of understanding are more difficult for students to learn. Which educational theory is this observation congruent with?</w:t>
      </w:r>
    </w:p>
    <w:p w14:paraId="6900CF6D" w14:textId="77777777" w:rsidR="000C1CB3" w:rsidRPr="000C1CB3" w:rsidRDefault="000C1CB3" w:rsidP="00727DCD">
      <w:pPr>
        <w:rPr>
          <w:sz w:val="22"/>
          <w:szCs w:val="22"/>
        </w:rPr>
      </w:pPr>
    </w:p>
    <w:p w14:paraId="5F226C2D" w14:textId="77777777" w:rsidR="000C1CB3" w:rsidRPr="000C1CB3" w:rsidRDefault="000C1CB3" w:rsidP="00727DCD">
      <w:pPr>
        <w:pStyle w:val="ListParagraph"/>
        <w:numPr>
          <w:ilvl w:val="0"/>
          <w:numId w:val="2"/>
        </w:numPr>
        <w:rPr>
          <w:sz w:val="22"/>
          <w:szCs w:val="22"/>
        </w:rPr>
      </w:pPr>
      <w:r w:rsidRPr="000C1CB3">
        <w:rPr>
          <w:sz w:val="22"/>
          <w:szCs w:val="22"/>
        </w:rPr>
        <w:t>Bloom’s Acceptance/Abandonment</w:t>
      </w:r>
    </w:p>
    <w:p w14:paraId="469CE38C" w14:textId="77777777" w:rsidR="000C1CB3" w:rsidRPr="000C1CB3" w:rsidRDefault="000C1CB3" w:rsidP="00727DCD">
      <w:pPr>
        <w:pStyle w:val="ListParagraph"/>
        <w:numPr>
          <w:ilvl w:val="0"/>
          <w:numId w:val="2"/>
        </w:numPr>
        <w:rPr>
          <w:sz w:val="22"/>
          <w:szCs w:val="22"/>
        </w:rPr>
      </w:pPr>
      <w:r w:rsidRPr="000C1CB3">
        <w:rPr>
          <w:sz w:val="22"/>
          <w:szCs w:val="22"/>
        </w:rPr>
        <w:t>Vygotsky’s Zone of Optimal Development</w:t>
      </w:r>
    </w:p>
    <w:p w14:paraId="0BD24C9A" w14:textId="77777777" w:rsidR="000C1CB3" w:rsidRPr="000C1CB3" w:rsidRDefault="000C1CB3" w:rsidP="00727DCD">
      <w:pPr>
        <w:pStyle w:val="ListParagraph"/>
        <w:numPr>
          <w:ilvl w:val="0"/>
          <w:numId w:val="2"/>
        </w:numPr>
        <w:rPr>
          <w:sz w:val="22"/>
          <w:szCs w:val="22"/>
        </w:rPr>
      </w:pPr>
      <w:r w:rsidRPr="000C1CB3">
        <w:rPr>
          <w:sz w:val="22"/>
          <w:szCs w:val="22"/>
        </w:rPr>
        <w:t>Structured Observed Learning Outcomes (SOLO)</w:t>
      </w:r>
    </w:p>
    <w:p w14:paraId="1DD16226" w14:textId="77777777" w:rsidR="000C1CB3" w:rsidRPr="000C1CB3" w:rsidRDefault="000C1CB3" w:rsidP="00727DCD">
      <w:pPr>
        <w:pStyle w:val="ListParagraph"/>
        <w:numPr>
          <w:ilvl w:val="0"/>
          <w:numId w:val="2"/>
        </w:numPr>
        <w:rPr>
          <w:sz w:val="22"/>
          <w:szCs w:val="22"/>
        </w:rPr>
      </w:pPr>
      <w:r w:rsidRPr="000C1CB3">
        <w:rPr>
          <w:sz w:val="22"/>
          <w:szCs w:val="22"/>
        </w:rPr>
        <w:t>Piaget’s Assimilation/Accommodation</w:t>
      </w:r>
    </w:p>
    <w:p w14:paraId="04AF1A1C" w14:textId="77777777" w:rsidR="000C1CB3" w:rsidRPr="000C1CB3" w:rsidRDefault="000C1CB3" w:rsidP="00727DCD">
      <w:pPr>
        <w:pStyle w:val="ListParagraph"/>
        <w:ind w:left="0"/>
        <w:rPr>
          <w:sz w:val="22"/>
          <w:szCs w:val="22"/>
        </w:rPr>
      </w:pPr>
    </w:p>
    <w:p w14:paraId="0A18A09A" w14:textId="11132ADE" w:rsidR="000C1CB3" w:rsidRPr="000C1CB3" w:rsidRDefault="000C1CB3" w:rsidP="00727DCD">
      <w:pPr>
        <w:rPr>
          <w:sz w:val="22"/>
          <w:szCs w:val="22"/>
        </w:rPr>
      </w:pPr>
      <w:r w:rsidRPr="000C1CB3">
        <w:rPr>
          <w:sz w:val="22"/>
          <w:szCs w:val="22"/>
        </w:rPr>
        <w:t>3. You have been using Team-Based Learning in your first year physics seminar for a couple of years. You have begun to notice that some teams don’t deeply discuss their decision rationales often get stuck part way through the problem and as a result don’t do well in the full class discussion. In contrast, teams with more animated and in-depth conversations often successfully complete the problem or at least proceed further into the problems before getting stuck, and they most often do better in whole class discussions. In the successful teams, it seems like the students are helping each other progress, with students helping each other work out a deeper understanding. This process of learners aiding each other’s progress is best described by what educational theory.</w:t>
      </w:r>
    </w:p>
    <w:p w14:paraId="6DD5DE94" w14:textId="77777777" w:rsidR="000C1CB3" w:rsidRPr="000C1CB3" w:rsidRDefault="000C1CB3" w:rsidP="00727DCD">
      <w:pPr>
        <w:rPr>
          <w:sz w:val="22"/>
          <w:szCs w:val="22"/>
        </w:rPr>
      </w:pPr>
    </w:p>
    <w:p w14:paraId="40C8BB2B" w14:textId="77777777" w:rsidR="000C1CB3" w:rsidRPr="000C1CB3" w:rsidRDefault="000C1CB3" w:rsidP="00727DCD">
      <w:pPr>
        <w:pStyle w:val="ListParagraph"/>
        <w:numPr>
          <w:ilvl w:val="0"/>
          <w:numId w:val="3"/>
        </w:numPr>
        <w:rPr>
          <w:sz w:val="22"/>
          <w:szCs w:val="22"/>
        </w:rPr>
      </w:pPr>
      <w:r w:rsidRPr="000C1CB3">
        <w:rPr>
          <w:sz w:val="22"/>
          <w:szCs w:val="22"/>
        </w:rPr>
        <w:t xml:space="preserve">Piaget’s Assimilation/Accommodation Process </w:t>
      </w:r>
    </w:p>
    <w:p w14:paraId="6FC12D92" w14:textId="77777777" w:rsidR="000C1CB3" w:rsidRPr="000C1CB3" w:rsidRDefault="000C1CB3" w:rsidP="00727DCD">
      <w:pPr>
        <w:pStyle w:val="ListParagraph"/>
        <w:numPr>
          <w:ilvl w:val="0"/>
          <w:numId w:val="3"/>
        </w:numPr>
        <w:rPr>
          <w:sz w:val="22"/>
          <w:szCs w:val="22"/>
        </w:rPr>
      </w:pPr>
      <w:r w:rsidRPr="000C1CB3">
        <w:rPr>
          <w:sz w:val="22"/>
          <w:szCs w:val="22"/>
        </w:rPr>
        <w:t>Vygotsky’s Zone of Proximal Development</w:t>
      </w:r>
    </w:p>
    <w:p w14:paraId="60FE28C8" w14:textId="77777777" w:rsidR="000C1CB3" w:rsidRPr="000C1CB3" w:rsidRDefault="000C1CB3" w:rsidP="00727DCD">
      <w:pPr>
        <w:pStyle w:val="ListParagraph"/>
        <w:numPr>
          <w:ilvl w:val="0"/>
          <w:numId w:val="3"/>
        </w:numPr>
        <w:rPr>
          <w:sz w:val="22"/>
          <w:szCs w:val="22"/>
        </w:rPr>
      </w:pPr>
      <w:r w:rsidRPr="000C1CB3">
        <w:rPr>
          <w:sz w:val="22"/>
          <w:szCs w:val="22"/>
        </w:rPr>
        <w:t>SOLO framework of complexity development</w:t>
      </w:r>
    </w:p>
    <w:p w14:paraId="7AA16CC4" w14:textId="6761B5DB" w:rsidR="000C1CB3" w:rsidRPr="000C1CB3" w:rsidRDefault="000C1CB3" w:rsidP="00727DCD">
      <w:pPr>
        <w:pStyle w:val="ListParagraph"/>
        <w:numPr>
          <w:ilvl w:val="0"/>
          <w:numId w:val="3"/>
        </w:numPr>
        <w:rPr>
          <w:sz w:val="22"/>
          <w:szCs w:val="22"/>
        </w:rPr>
      </w:pPr>
      <w:r w:rsidRPr="000C1CB3">
        <w:rPr>
          <w:sz w:val="22"/>
          <w:szCs w:val="22"/>
        </w:rPr>
        <w:t>Bloom’s taxonomy of Cognitive Development</w:t>
      </w:r>
    </w:p>
    <w:p w14:paraId="1DD6A35A" w14:textId="77777777" w:rsidR="000C1CB3" w:rsidRPr="000C1CB3" w:rsidRDefault="000C1CB3" w:rsidP="00727DCD">
      <w:pPr>
        <w:rPr>
          <w:sz w:val="22"/>
          <w:szCs w:val="22"/>
        </w:rPr>
      </w:pPr>
    </w:p>
    <w:p w14:paraId="4E4568D2" w14:textId="77777777" w:rsidR="000C1CB3" w:rsidRPr="000C1CB3" w:rsidRDefault="000C1CB3" w:rsidP="00727DCD">
      <w:pPr>
        <w:rPr>
          <w:sz w:val="22"/>
          <w:szCs w:val="22"/>
        </w:rPr>
      </w:pPr>
      <w:r w:rsidRPr="000C1CB3">
        <w:rPr>
          <w:sz w:val="22"/>
          <w:szCs w:val="22"/>
        </w:rPr>
        <w:t>4. You have decided to use Team-Based Learning (TBL) in your 2</w:t>
      </w:r>
      <w:r w:rsidRPr="000C1CB3">
        <w:rPr>
          <w:sz w:val="22"/>
          <w:szCs w:val="22"/>
          <w:vertAlign w:val="superscript"/>
        </w:rPr>
        <w:t>nd</w:t>
      </w:r>
      <w:r w:rsidRPr="000C1CB3">
        <w:rPr>
          <w:sz w:val="22"/>
          <w:szCs w:val="22"/>
        </w:rPr>
        <w:t xml:space="preserve"> year literature course. You are trying to decide how to sequence the activities to help the students best develop a deep understanding of the subject matter. </w:t>
      </w:r>
    </w:p>
    <w:p w14:paraId="57D311CF" w14:textId="77777777" w:rsidR="000C1CB3" w:rsidRPr="000C1CB3" w:rsidRDefault="000C1CB3" w:rsidP="00727DCD">
      <w:pPr>
        <w:rPr>
          <w:sz w:val="22"/>
          <w:szCs w:val="22"/>
        </w:rPr>
      </w:pPr>
    </w:p>
    <w:p w14:paraId="575F2404" w14:textId="77777777" w:rsidR="000C1CB3" w:rsidRPr="000C1CB3" w:rsidRDefault="000C1CB3" w:rsidP="00727DCD">
      <w:pPr>
        <w:rPr>
          <w:sz w:val="22"/>
          <w:szCs w:val="22"/>
        </w:rPr>
      </w:pPr>
      <w:r w:rsidRPr="000C1CB3">
        <w:rPr>
          <w:sz w:val="22"/>
          <w:szCs w:val="22"/>
        </w:rPr>
        <w:t>What educational construct might be most useful in helping you sequence the TBL activities?</w:t>
      </w:r>
    </w:p>
    <w:p w14:paraId="77F583EB" w14:textId="77777777" w:rsidR="000C1CB3" w:rsidRPr="000C1CB3" w:rsidRDefault="000C1CB3" w:rsidP="00727DCD">
      <w:pPr>
        <w:rPr>
          <w:sz w:val="22"/>
          <w:szCs w:val="22"/>
        </w:rPr>
      </w:pPr>
    </w:p>
    <w:p w14:paraId="20D2BFBD" w14:textId="41A27389" w:rsidR="000C1CB3" w:rsidRPr="000C1CB3" w:rsidRDefault="000C1CB3" w:rsidP="00727DCD">
      <w:pPr>
        <w:pStyle w:val="ListParagraph"/>
        <w:numPr>
          <w:ilvl w:val="0"/>
          <w:numId w:val="4"/>
        </w:numPr>
        <w:rPr>
          <w:sz w:val="22"/>
          <w:szCs w:val="22"/>
        </w:rPr>
      </w:pPr>
      <w:r w:rsidRPr="000C1CB3">
        <w:rPr>
          <w:sz w:val="22"/>
          <w:szCs w:val="22"/>
        </w:rPr>
        <w:t>Piaget’s stage</w:t>
      </w:r>
      <w:r w:rsidR="00412C62">
        <w:rPr>
          <w:sz w:val="22"/>
          <w:szCs w:val="22"/>
        </w:rPr>
        <w:t>s</w:t>
      </w:r>
      <w:r w:rsidRPr="000C1CB3">
        <w:rPr>
          <w:sz w:val="22"/>
          <w:szCs w:val="22"/>
        </w:rPr>
        <w:t xml:space="preserve"> of intellectual development</w:t>
      </w:r>
    </w:p>
    <w:p w14:paraId="501288C1" w14:textId="77777777" w:rsidR="000C1CB3" w:rsidRPr="000C1CB3" w:rsidRDefault="000C1CB3" w:rsidP="00727DCD">
      <w:pPr>
        <w:pStyle w:val="ListParagraph"/>
        <w:numPr>
          <w:ilvl w:val="0"/>
          <w:numId w:val="4"/>
        </w:numPr>
        <w:rPr>
          <w:sz w:val="22"/>
          <w:szCs w:val="22"/>
        </w:rPr>
      </w:pPr>
      <w:proofErr w:type="spellStart"/>
      <w:r w:rsidRPr="000C1CB3">
        <w:rPr>
          <w:sz w:val="22"/>
          <w:szCs w:val="22"/>
        </w:rPr>
        <w:t>Bigg’s</w:t>
      </w:r>
      <w:proofErr w:type="spellEnd"/>
      <w:r w:rsidRPr="000C1CB3">
        <w:rPr>
          <w:sz w:val="22"/>
          <w:szCs w:val="22"/>
        </w:rPr>
        <w:t xml:space="preserve"> SOLO taxonomy</w:t>
      </w:r>
    </w:p>
    <w:p w14:paraId="72153ECF" w14:textId="77777777" w:rsidR="000C1CB3" w:rsidRPr="000C1CB3" w:rsidRDefault="000C1CB3" w:rsidP="00727DCD">
      <w:pPr>
        <w:pStyle w:val="ListParagraph"/>
        <w:numPr>
          <w:ilvl w:val="0"/>
          <w:numId w:val="4"/>
        </w:numPr>
        <w:rPr>
          <w:sz w:val="22"/>
          <w:szCs w:val="22"/>
        </w:rPr>
      </w:pPr>
      <w:r w:rsidRPr="000C1CB3">
        <w:rPr>
          <w:sz w:val="22"/>
          <w:szCs w:val="22"/>
        </w:rPr>
        <w:t>Bloom’s taxonomy in the cognitive domain</w:t>
      </w:r>
    </w:p>
    <w:p w14:paraId="34177E37" w14:textId="77777777" w:rsidR="000C1CB3" w:rsidRPr="000C1CB3" w:rsidRDefault="000C1CB3" w:rsidP="00727DCD">
      <w:pPr>
        <w:pStyle w:val="ListParagraph"/>
        <w:numPr>
          <w:ilvl w:val="0"/>
          <w:numId w:val="4"/>
        </w:numPr>
      </w:pPr>
      <w:r w:rsidRPr="000C1CB3">
        <w:rPr>
          <w:sz w:val="22"/>
          <w:szCs w:val="22"/>
        </w:rPr>
        <w:t>Vygotsky’s scaffolding</w:t>
      </w:r>
      <w:r w:rsidRPr="000C1CB3">
        <w:rPr>
          <w:sz w:val="22"/>
          <w:szCs w:val="22"/>
        </w:rPr>
        <w:br/>
      </w:r>
      <w:r w:rsidRPr="000C1CB3">
        <w:br/>
      </w:r>
    </w:p>
    <w:p w14:paraId="0451D6EE" w14:textId="77777777" w:rsidR="000C1CB3" w:rsidRPr="000C1CB3" w:rsidRDefault="000C1CB3" w:rsidP="00727DCD"/>
    <w:p w14:paraId="52AF1EDC" w14:textId="77777777" w:rsidR="000C1CB3" w:rsidRPr="000C1CB3" w:rsidRDefault="000C1CB3" w:rsidP="00727DCD">
      <w:pPr>
        <w:rPr>
          <w:b/>
          <w:u w:val="single"/>
        </w:rPr>
      </w:pPr>
    </w:p>
    <w:p w14:paraId="33859992" w14:textId="77777777" w:rsidR="000C1CB3" w:rsidRPr="000C1CB3" w:rsidRDefault="000C1CB3" w:rsidP="00727DCD">
      <w:pPr>
        <w:rPr>
          <w:rFonts w:ascii="Verdana" w:hAnsi="Verdana"/>
          <w:b/>
          <w:u w:val="single"/>
        </w:rPr>
      </w:pPr>
      <w:r w:rsidRPr="000C1CB3">
        <w:rPr>
          <w:rFonts w:ascii="Verdana" w:hAnsi="Verdana"/>
          <w:b/>
          <w:u w:val="single"/>
        </w:rPr>
        <w:br w:type="page"/>
      </w:r>
    </w:p>
    <w:p w14:paraId="233FB2D1" w14:textId="276046B7" w:rsidR="000C1CB3" w:rsidRPr="0073253A" w:rsidRDefault="000C1CB3" w:rsidP="00727DCD">
      <w:pPr>
        <w:rPr>
          <w:b/>
          <w:sz w:val="24"/>
          <w:szCs w:val="24"/>
          <w:u w:val="single"/>
        </w:rPr>
      </w:pPr>
      <w:r w:rsidRPr="0073253A">
        <w:rPr>
          <w:rFonts w:ascii="Verdana" w:hAnsi="Verdana"/>
          <w:b/>
          <w:sz w:val="24"/>
          <w:szCs w:val="24"/>
          <w:u w:val="single"/>
        </w:rPr>
        <w:lastRenderedPageBreak/>
        <w:t>Application Activities – Learning about Learning</w:t>
      </w:r>
    </w:p>
    <w:p w14:paraId="5DBBCE0C" w14:textId="77777777" w:rsidR="000C1CB3" w:rsidRPr="0073253A" w:rsidRDefault="000C1CB3" w:rsidP="00727DCD">
      <w:pPr>
        <w:rPr>
          <w:sz w:val="24"/>
          <w:szCs w:val="24"/>
        </w:rPr>
      </w:pPr>
    </w:p>
    <w:p w14:paraId="0F9375CE" w14:textId="77777777" w:rsidR="00724956" w:rsidRPr="00724956" w:rsidRDefault="00724956" w:rsidP="00724956">
      <w:pPr>
        <w:rPr>
          <w:sz w:val="22"/>
          <w:szCs w:val="22"/>
        </w:rPr>
      </w:pPr>
      <w:r w:rsidRPr="00724956">
        <w:rPr>
          <w:sz w:val="22"/>
          <w:szCs w:val="22"/>
        </w:rPr>
        <w:t>You have been thinking a lot about how to help your students gain a deeper level of understanding of your subject. Students willing take copious notes and are very willing regurgitate the large amounts of facts back in test and exams, but when it comes to solving novel problems with what they know – the students are often stumped - they can’t seem to apply what they know.</w:t>
      </w:r>
    </w:p>
    <w:p w14:paraId="492918FE" w14:textId="77777777" w:rsidR="00724956" w:rsidRPr="00724956" w:rsidRDefault="00724956" w:rsidP="00724956">
      <w:pPr>
        <w:rPr>
          <w:sz w:val="22"/>
          <w:szCs w:val="22"/>
        </w:rPr>
      </w:pPr>
    </w:p>
    <w:p w14:paraId="3A8CDDE3" w14:textId="3531ECCA" w:rsidR="00724956" w:rsidRPr="00724956" w:rsidRDefault="00724956" w:rsidP="00724956">
      <w:pPr>
        <w:rPr>
          <w:sz w:val="22"/>
          <w:szCs w:val="22"/>
        </w:rPr>
      </w:pPr>
      <w:r w:rsidRPr="00724956">
        <w:rPr>
          <w:sz w:val="22"/>
          <w:szCs w:val="22"/>
        </w:rPr>
        <w:t xml:space="preserve">You came across some ideas for a new way to ask probing questions (see the examples below) and are hoping they might up your instructional game and help student to deeper understanding. </w:t>
      </w:r>
    </w:p>
    <w:p w14:paraId="581F0EEF" w14:textId="77777777" w:rsidR="00724956" w:rsidRPr="00724956" w:rsidRDefault="00724956" w:rsidP="00724956">
      <w:pPr>
        <w:rPr>
          <w:sz w:val="22"/>
          <w:szCs w:val="22"/>
        </w:rPr>
      </w:pPr>
    </w:p>
    <w:p w14:paraId="5BE071CD" w14:textId="020A1966" w:rsidR="00724956" w:rsidRPr="00724956" w:rsidRDefault="00724956" w:rsidP="00724956">
      <w:pPr>
        <w:rPr>
          <w:b/>
          <w:sz w:val="22"/>
          <w:szCs w:val="22"/>
          <w:u w:val="single"/>
        </w:rPr>
      </w:pPr>
      <w:r w:rsidRPr="00724956">
        <w:rPr>
          <w:b/>
          <w:sz w:val="22"/>
          <w:szCs w:val="22"/>
          <w:u w:val="single"/>
        </w:rPr>
        <w:t>Task One</w:t>
      </w:r>
    </w:p>
    <w:p w14:paraId="4C7A9FE9" w14:textId="77777777" w:rsidR="00724956" w:rsidRPr="00724956" w:rsidRDefault="00724956" w:rsidP="00724956">
      <w:pPr>
        <w:rPr>
          <w:sz w:val="22"/>
          <w:szCs w:val="22"/>
        </w:rPr>
      </w:pPr>
    </w:p>
    <w:p w14:paraId="288F1318" w14:textId="62705F17" w:rsidR="00761E47" w:rsidRDefault="00724956" w:rsidP="00724956">
      <w:pPr>
        <w:rPr>
          <w:sz w:val="22"/>
          <w:szCs w:val="22"/>
        </w:rPr>
      </w:pPr>
      <w:r w:rsidRPr="00724956">
        <w:rPr>
          <w:sz w:val="22"/>
          <w:szCs w:val="22"/>
        </w:rPr>
        <w:t>Please examine the question layout below, which comes from the book  “Creating Written Test Questions for the Basic and Clinical Sciences</w:t>
      </w:r>
      <w:r w:rsidR="00761E47">
        <w:rPr>
          <w:sz w:val="22"/>
          <w:szCs w:val="22"/>
        </w:rPr>
        <w:t>.”</w:t>
      </w:r>
    </w:p>
    <w:p w14:paraId="02EC8819" w14:textId="77777777" w:rsidR="00761E47" w:rsidRDefault="00761E47" w:rsidP="00724956">
      <w:pPr>
        <w:rPr>
          <w:sz w:val="22"/>
          <w:szCs w:val="22"/>
        </w:rPr>
      </w:pPr>
    </w:p>
    <w:p w14:paraId="472DD0AB" w14:textId="6CA03D8E" w:rsidR="00761E47" w:rsidRDefault="00761E47" w:rsidP="00724956">
      <w:pPr>
        <w:rPr>
          <w:sz w:val="22"/>
          <w:szCs w:val="22"/>
        </w:rPr>
      </w:pPr>
      <w:proofErr w:type="gramStart"/>
      <w:r>
        <w:rPr>
          <w:sz w:val="22"/>
          <w:szCs w:val="22"/>
        </w:rPr>
        <w:t>Step</w:t>
      </w:r>
      <w:proofErr w:type="gramEnd"/>
      <w:r>
        <w:rPr>
          <w:sz w:val="22"/>
          <w:szCs w:val="22"/>
        </w:rPr>
        <w:t xml:space="preserve"> One: </w:t>
      </w:r>
      <w:r w:rsidRPr="00724956">
        <w:rPr>
          <w:sz w:val="22"/>
          <w:szCs w:val="22"/>
        </w:rPr>
        <w:t>Start by parsing each question and identifying what we want students to</w:t>
      </w:r>
      <w:r>
        <w:rPr>
          <w:sz w:val="22"/>
          <w:szCs w:val="22"/>
        </w:rPr>
        <w:t xml:space="preserve"> actually be doing</w:t>
      </w:r>
      <w:r w:rsidRPr="00724956">
        <w:rPr>
          <w:sz w:val="22"/>
          <w:szCs w:val="22"/>
        </w:rPr>
        <w:t>.</w:t>
      </w:r>
      <w:r>
        <w:rPr>
          <w:sz w:val="22"/>
          <w:szCs w:val="22"/>
        </w:rPr>
        <w:t xml:space="preserve"> Check the readings and pick an appropriate verb(s) from both the Bloom’s verb table and SOLO verb table.</w:t>
      </w:r>
    </w:p>
    <w:p w14:paraId="12933797" w14:textId="77777777" w:rsidR="00761E47" w:rsidRDefault="00761E47" w:rsidP="00724956">
      <w:pPr>
        <w:rPr>
          <w:sz w:val="22"/>
          <w:szCs w:val="22"/>
        </w:rPr>
      </w:pPr>
    </w:p>
    <w:p w14:paraId="753B392E" w14:textId="2EBCB41F" w:rsidR="00761E47" w:rsidRDefault="00761E47" w:rsidP="00761E47">
      <w:pPr>
        <w:rPr>
          <w:sz w:val="22"/>
          <w:szCs w:val="22"/>
        </w:rPr>
      </w:pPr>
      <w:r>
        <w:rPr>
          <w:sz w:val="22"/>
          <w:szCs w:val="22"/>
        </w:rPr>
        <w:t xml:space="preserve">Step Two: </w:t>
      </w:r>
      <w:r w:rsidR="00724956" w:rsidRPr="00724956">
        <w:rPr>
          <w:sz w:val="22"/>
          <w:szCs w:val="22"/>
        </w:rPr>
        <w:t>W</w:t>
      </w:r>
      <w:r>
        <w:rPr>
          <w:sz w:val="22"/>
          <w:szCs w:val="22"/>
        </w:rPr>
        <w:t>hich taxonomy would best explain</w:t>
      </w:r>
      <w:r w:rsidR="00724956" w:rsidRPr="00724956">
        <w:rPr>
          <w:sz w:val="22"/>
          <w:szCs w:val="22"/>
        </w:rPr>
        <w:t xml:space="preserve"> </w:t>
      </w:r>
      <w:r w:rsidRPr="00724956">
        <w:rPr>
          <w:sz w:val="22"/>
          <w:szCs w:val="22"/>
        </w:rPr>
        <w:t xml:space="preserve">the </w:t>
      </w:r>
      <w:r>
        <w:rPr>
          <w:sz w:val="22"/>
          <w:szCs w:val="22"/>
        </w:rPr>
        <w:t xml:space="preserve">progression of the questions and </w:t>
      </w:r>
      <w:r w:rsidRPr="00724956">
        <w:rPr>
          <w:sz w:val="22"/>
          <w:szCs w:val="22"/>
        </w:rPr>
        <w:t>logic behind the layout? Pick one and be ready to describe WHY one of the taxonomies better explains the layout.</w:t>
      </w:r>
    </w:p>
    <w:p w14:paraId="2DABDC3A" w14:textId="77777777" w:rsidR="00761E47" w:rsidRDefault="00761E47" w:rsidP="00761E47">
      <w:pPr>
        <w:rPr>
          <w:sz w:val="22"/>
          <w:szCs w:val="22"/>
        </w:rPr>
      </w:pPr>
    </w:p>
    <w:p w14:paraId="02C6FDC1" w14:textId="0E901F23" w:rsidR="00761E47" w:rsidRPr="00761E47" w:rsidRDefault="00724956" w:rsidP="00761E47">
      <w:pPr>
        <w:pStyle w:val="ListParagraph"/>
        <w:numPr>
          <w:ilvl w:val="0"/>
          <w:numId w:val="9"/>
        </w:numPr>
        <w:rPr>
          <w:sz w:val="22"/>
          <w:szCs w:val="22"/>
        </w:rPr>
      </w:pPr>
      <w:r w:rsidRPr="00761E47">
        <w:rPr>
          <w:sz w:val="22"/>
          <w:szCs w:val="22"/>
        </w:rPr>
        <w:t xml:space="preserve">Bloom’s taxonomy </w:t>
      </w:r>
    </w:p>
    <w:p w14:paraId="73105E1D" w14:textId="7634C843" w:rsidR="00761E47" w:rsidRPr="00761E47" w:rsidRDefault="00724956" w:rsidP="00761E47">
      <w:pPr>
        <w:pStyle w:val="ListParagraph"/>
        <w:numPr>
          <w:ilvl w:val="0"/>
          <w:numId w:val="9"/>
        </w:numPr>
        <w:rPr>
          <w:sz w:val="22"/>
          <w:szCs w:val="22"/>
        </w:rPr>
      </w:pPr>
      <w:r w:rsidRPr="00761E47">
        <w:rPr>
          <w:sz w:val="22"/>
          <w:szCs w:val="22"/>
        </w:rPr>
        <w:t xml:space="preserve">SOLO taxonomy </w:t>
      </w:r>
    </w:p>
    <w:p w14:paraId="5E9069D8" w14:textId="77777777" w:rsidR="00724956" w:rsidRDefault="00724956" w:rsidP="00724956">
      <w:pPr>
        <w:ind w:left="-180"/>
        <w:jc w:val="both"/>
        <w:rPr>
          <w:b/>
          <w:sz w:val="24"/>
          <w:szCs w:val="24"/>
          <w:u w:val="single"/>
        </w:rPr>
      </w:pPr>
      <w:r w:rsidRPr="000C1CB3">
        <w:rPr>
          <w:noProof/>
          <w:lang w:eastAsia="en-US"/>
        </w:rPr>
        <w:drawing>
          <wp:inline distT="0" distB="0" distL="0" distR="0" wp14:anchorId="2273984C" wp14:editId="25E23BD2">
            <wp:extent cx="5660641" cy="4196999"/>
            <wp:effectExtent l="101600" t="127000" r="105410" b="121285"/>
            <wp:docPr id="1" name="Picture 1" descr="Macintosh HD:Users:sibley:Desktop:Screen Shot 2017-03-15 at 12.58.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ibley:Desktop:Screen Shot 2017-03-15 at 12.58.0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0743" cy="4197075"/>
                    </a:xfrm>
                    <a:prstGeom prst="rect">
                      <a:avLst/>
                    </a:prstGeom>
                    <a:noFill/>
                    <a:ln>
                      <a:noFill/>
                    </a:ln>
                    <a:scene3d>
                      <a:camera prst="orthographicFront">
                        <a:rot lat="0" lon="0" rev="21534000"/>
                      </a:camera>
                      <a:lightRig rig="threePt" dir="t"/>
                    </a:scene3d>
                  </pic:spPr>
                </pic:pic>
              </a:graphicData>
            </a:graphic>
          </wp:inline>
        </w:drawing>
      </w:r>
    </w:p>
    <w:p w14:paraId="12ED7536" w14:textId="77777777" w:rsidR="00724956" w:rsidRDefault="00724956">
      <w:pPr>
        <w:rPr>
          <w:b/>
          <w:sz w:val="24"/>
          <w:szCs w:val="24"/>
          <w:u w:val="single"/>
        </w:rPr>
      </w:pPr>
      <w:r>
        <w:rPr>
          <w:b/>
          <w:sz w:val="24"/>
          <w:szCs w:val="24"/>
          <w:u w:val="single"/>
        </w:rPr>
        <w:br w:type="page"/>
      </w:r>
    </w:p>
    <w:p w14:paraId="7E061CB1" w14:textId="4037E7F6" w:rsidR="000A6B67" w:rsidRPr="0073253A" w:rsidRDefault="00727DCD" w:rsidP="00727DCD">
      <w:pPr>
        <w:rPr>
          <w:b/>
          <w:sz w:val="24"/>
          <w:szCs w:val="24"/>
          <w:u w:val="single"/>
        </w:rPr>
      </w:pPr>
      <w:r w:rsidRPr="0073253A">
        <w:rPr>
          <w:b/>
          <w:sz w:val="24"/>
          <w:szCs w:val="24"/>
          <w:u w:val="single"/>
        </w:rPr>
        <w:t>Task</w:t>
      </w:r>
      <w:r w:rsidR="00724956">
        <w:rPr>
          <w:b/>
          <w:sz w:val="24"/>
          <w:szCs w:val="24"/>
          <w:u w:val="single"/>
        </w:rPr>
        <w:t xml:space="preserve"> Two</w:t>
      </w:r>
    </w:p>
    <w:p w14:paraId="4B87BEDE" w14:textId="77777777" w:rsidR="000A6B67" w:rsidRPr="0073253A" w:rsidRDefault="000A6B67" w:rsidP="00727DCD">
      <w:pPr>
        <w:rPr>
          <w:sz w:val="24"/>
          <w:szCs w:val="24"/>
        </w:rPr>
      </w:pPr>
      <w:r w:rsidRPr="0073253A">
        <w:rPr>
          <w:sz w:val="24"/>
          <w:szCs w:val="24"/>
        </w:rPr>
        <w:t xml:space="preserve"> </w:t>
      </w:r>
    </w:p>
    <w:p w14:paraId="2FAA11FF" w14:textId="2070AF8A" w:rsidR="00E64B9B" w:rsidRPr="00761E47" w:rsidRDefault="00412C62" w:rsidP="00761E47">
      <w:pPr>
        <w:rPr>
          <w:sz w:val="22"/>
          <w:szCs w:val="22"/>
        </w:rPr>
      </w:pPr>
      <w:r w:rsidRPr="00761E47">
        <w:rPr>
          <w:sz w:val="22"/>
          <w:szCs w:val="22"/>
        </w:rPr>
        <w:t xml:space="preserve">Please examine </w:t>
      </w:r>
      <w:r w:rsidR="00B86081" w:rsidRPr="00761E47">
        <w:rPr>
          <w:sz w:val="22"/>
          <w:szCs w:val="22"/>
        </w:rPr>
        <w:t xml:space="preserve">both </w:t>
      </w:r>
      <w:r w:rsidRPr="00761E47">
        <w:rPr>
          <w:sz w:val="22"/>
          <w:szCs w:val="22"/>
        </w:rPr>
        <w:t>the question la</w:t>
      </w:r>
      <w:r w:rsidR="000A6B67" w:rsidRPr="00761E47">
        <w:rPr>
          <w:sz w:val="22"/>
          <w:szCs w:val="22"/>
        </w:rPr>
        <w:t>yout</w:t>
      </w:r>
      <w:r w:rsidR="00761E47" w:rsidRPr="00761E47">
        <w:rPr>
          <w:sz w:val="22"/>
          <w:szCs w:val="22"/>
        </w:rPr>
        <w:t>s</w:t>
      </w:r>
      <w:r w:rsidR="000A6B67" w:rsidRPr="00761E47">
        <w:rPr>
          <w:sz w:val="22"/>
          <w:szCs w:val="22"/>
        </w:rPr>
        <w:t xml:space="preserve"> </w:t>
      </w:r>
      <w:r w:rsidRPr="00761E47">
        <w:rPr>
          <w:sz w:val="22"/>
          <w:szCs w:val="22"/>
        </w:rPr>
        <w:t xml:space="preserve">below, which </w:t>
      </w:r>
      <w:r w:rsidR="000A6B67" w:rsidRPr="00761E47">
        <w:rPr>
          <w:sz w:val="22"/>
          <w:szCs w:val="22"/>
        </w:rPr>
        <w:t>comes from the book  “Teaching for</w:t>
      </w:r>
      <w:r w:rsidR="00B86081" w:rsidRPr="00761E47">
        <w:rPr>
          <w:sz w:val="22"/>
          <w:szCs w:val="22"/>
        </w:rPr>
        <w:t xml:space="preserve"> Q</w:t>
      </w:r>
      <w:r w:rsidR="00761E47" w:rsidRPr="00761E47">
        <w:rPr>
          <w:sz w:val="22"/>
          <w:szCs w:val="22"/>
        </w:rPr>
        <w:t>uality Learning at University.”</w:t>
      </w:r>
    </w:p>
    <w:p w14:paraId="1E0B13B5" w14:textId="77777777" w:rsidR="00761E47" w:rsidRPr="00761E47" w:rsidRDefault="00761E47" w:rsidP="00761E47">
      <w:pPr>
        <w:rPr>
          <w:sz w:val="22"/>
          <w:szCs w:val="22"/>
        </w:rPr>
      </w:pPr>
    </w:p>
    <w:p w14:paraId="385B68F6" w14:textId="77777777" w:rsidR="00761E47" w:rsidRPr="00761E47" w:rsidRDefault="00761E47" w:rsidP="00761E47">
      <w:pPr>
        <w:rPr>
          <w:sz w:val="22"/>
          <w:szCs w:val="22"/>
        </w:rPr>
      </w:pPr>
      <w:proofErr w:type="gramStart"/>
      <w:r w:rsidRPr="00761E47">
        <w:rPr>
          <w:sz w:val="22"/>
          <w:szCs w:val="22"/>
        </w:rPr>
        <w:t>Step</w:t>
      </w:r>
      <w:proofErr w:type="gramEnd"/>
      <w:r w:rsidRPr="00761E47">
        <w:rPr>
          <w:sz w:val="22"/>
          <w:szCs w:val="22"/>
        </w:rPr>
        <w:t xml:space="preserve"> One: Start by parsing each question and identifying what we want students to actually be doing. Check the readings and pick an appropriate verb(s) from both the Bloom’s verb table and SOLO verb table.</w:t>
      </w:r>
    </w:p>
    <w:p w14:paraId="25D680C8" w14:textId="77777777" w:rsidR="00761E47" w:rsidRPr="00761E47" w:rsidRDefault="00761E47" w:rsidP="00761E47">
      <w:pPr>
        <w:rPr>
          <w:sz w:val="22"/>
          <w:szCs w:val="22"/>
        </w:rPr>
      </w:pPr>
    </w:p>
    <w:p w14:paraId="31174336" w14:textId="77777777" w:rsidR="00761E47" w:rsidRPr="00761E47" w:rsidRDefault="00761E47" w:rsidP="00761E47">
      <w:pPr>
        <w:rPr>
          <w:sz w:val="22"/>
          <w:szCs w:val="22"/>
        </w:rPr>
      </w:pPr>
      <w:r w:rsidRPr="00761E47">
        <w:rPr>
          <w:sz w:val="22"/>
          <w:szCs w:val="22"/>
        </w:rPr>
        <w:t>Step Two: Which taxonomy would best explain the progression of the questions and logic behind the layout? Pick one and be ready to describe WHY one of the taxonomies better explains the layout.</w:t>
      </w:r>
    </w:p>
    <w:p w14:paraId="647A3E30" w14:textId="77777777" w:rsidR="00761E47" w:rsidRPr="00761E47" w:rsidRDefault="00761E47" w:rsidP="00761E47">
      <w:pPr>
        <w:rPr>
          <w:sz w:val="22"/>
          <w:szCs w:val="22"/>
        </w:rPr>
      </w:pPr>
    </w:p>
    <w:p w14:paraId="40B0B3E5" w14:textId="77777777" w:rsidR="00761E47" w:rsidRPr="00761E47" w:rsidRDefault="00761E47" w:rsidP="00761E47">
      <w:pPr>
        <w:pStyle w:val="ListParagraph"/>
        <w:numPr>
          <w:ilvl w:val="0"/>
          <w:numId w:val="10"/>
        </w:numPr>
        <w:rPr>
          <w:sz w:val="22"/>
          <w:szCs w:val="22"/>
        </w:rPr>
      </w:pPr>
      <w:r w:rsidRPr="00761E47">
        <w:rPr>
          <w:sz w:val="22"/>
          <w:szCs w:val="22"/>
        </w:rPr>
        <w:t xml:space="preserve">Bloom’s taxonomy </w:t>
      </w:r>
    </w:p>
    <w:p w14:paraId="55F226B7" w14:textId="77777777" w:rsidR="00761E47" w:rsidRPr="00761E47" w:rsidRDefault="00761E47" w:rsidP="00761E47">
      <w:pPr>
        <w:pStyle w:val="ListParagraph"/>
        <w:numPr>
          <w:ilvl w:val="0"/>
          <w:numId w:val="10"/>
        </w:numPr>
        <w:rPr>
          <w:sz w:val="22"/>
          <w:szCs w:val="22"/>
        </w:rPr>
      </w:pPr>
      <w:r w:rsidRPr="00761E47">
        <w:rPr>
          <w:sz w:val="22"/>
          <w:szCs w:val="22"/>
        </w:rPr>
        <w:t xml:space="preserve">SOLO taxonomy </w:t>
      </w:r>
    </w:p>
    <w:p w14:paraId="10481507" w14:textId="77777777" w:rsidR="00761E47" w:rsidRPr="000C1CB3" w:rsidRDefault="00761E47" w:rsidP="00761E47">
      <w:pPr>
        <w:rPr>
          <w:b/>
          <w:u w:val="single"/>
        </w:rPr>
      </w:pPr>
    </w:p>
    <w:p w14:paraId="2BB0CF52" w14:textId="2FF1E086" w:rsidR="000C1CB3" w:rsidRPr="00B86081" w:rsidRDefault="00980FBD" w:rsidP="0073253A">
      <w:pPr>
        <w:jc w:val="center"/>
        <w:rPr>
          <w:b/>
        </w:rPr>
      </w:pPr>
      <w:r w:rsidRPr="000C1CB3">
        <w:rPr>
          <w:noProof/>
          <w:lang w:eastAsia="en-US"/>
        </w:rPr>
        <w:drawing>
          <wp:inline distT="0" distB="0" distL="0" distR="0" wp14:anchorId="18C8101C" wp14:editId="17BC5ABE">
            <wp:extent cx="4346605" cy="3424418"/>
            <wp:effectExtent l="0" t="0" r="0" b="5080"/>
            <wp:docPr id="2" name="Picture 2" descr="Macintosh HD:Users:sibley:Desktop:Screen Shot 2017-03-15 at 12.5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bley:Desktop:Screen Shot 2017-03-15 at 12.58.32 PM.pn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4000" contrast="46000"/>
                              </a14:imgEffect>
                            </a14:imgLayer>
                          </a14:imgProps>
                        </a:ext>
                        <a:ext uri="{28A0092B-C50C-407E-A947-70E740481C1C}">
                          <a14:useLocalDpi xmlns:a14="http://schemas.microsoft.com/office/drawing/2010/main" val="0"/>
                        </a:ext>
                      </a:extLst>
                    </a:blip>
                    <a:srcRect t="3105"/>
                    <a:stretch/>
                  </pic:blipFill>
                  <pic:spPr bwMode="auto">
                    <a:xfrm>
                      <a:off x="0" y="0"/>
                      <a:ext cx="4349116" cy="3426397"/>
                    </a:xfrm>
                    <a:prstGeom prst="rect">
                      <a:avLst/>
                    </a:prstGeom>
                    <a:noFill/>
                    <a:ln>
                      <a:noFill/>
                    </a:ln>
                    <a:extLst>
                      <a:ext uri="{53640926-AAD7-44d8-BBD7-CCE9431645EC}">
                        <a14:shadowObscured xmlns:a14="http://schemas.microsoft.com/office/drawing/2010/main"/>
                      </a:ext>
                    </a:extLst>
                  </pic:spPr>
                </pic:pic>
              </a:graphicData>
            </a:graphic>
          </wp:inline>
        </w:drawing>
      </w:r>
    </w:p>
    <w:p w14:paraId="763F4413" w14:textId="77777777" w:rsidR="00980FBD" w:rsidRPr="000C1CB3" w:rsidRDefault="00980FBD" w:rsidP="0073253A">
      <w:pPr>
        <w:jc w:val="center"/>
      </w:pPr>
      <w:r w:rsidRPr="000C1CB3">
        <w:rPr>
          <w:noProof/>
          <w:lang w:eastAsia="en-US"/>
        </w:rPr>
        <w:drawing>
          <wp:inline distT="0" distB="0" distL="0" distR="0" wp14:anchorId="0EAF2A80" wp14:editId="2EEDEA6C">
            <wp:extent cx="5030225" cy="3886200"/>
            <wp:effectExtent l="0" t="0" r="0" b="0"/>
            <wp:docPr id="3" name="Picture 3" descr="Macintosh HD:Users:sibley:Desktop:Screen Shot 2017-03-15 at 12.58.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ibley:Desktop:Screen Shot 2017-03-15 at 12.58.57 PM.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33655" cy="3888850"/>
                    </a:xfrm>
                    <a:prstGeom prst="rect">
                      <a:avLst/>
                    </a:prstGeom>
                    <a:noFill/>
                    <a:ln>
                      <a:noFill/>
                    </a:ln>
                  </pic:spPr>
                </pic:pic>
              </a:graphicData>
            </a:graphic>
          </wp:inline>
        </w:drawing>
      </w:r>
    </w:p>
    <w:p w14:paraId="73A4FE9C" w14:textId="77777777" w:rsidR="0073253A" w:rsidRDefault="0073253A" w:rsidP="00727DCD">
      <w:pPr>
        <w:rPr>
          <w:b/>
          <w:u w:val="single"/>
        </w:rPr>
      </w:pPr>
    </w:p>
    <w:p w14:paraId="1BC88FF3" w14:textId="77777777" w:rsidR="0073253A" w:rsidRDefault="0073253A" w:rsidP="00727DCD">
      <w:pPr>
        <w:rPr>
          <w:b/>
          <w:u w:val="single"/>
        </w:rPr>
      </w:pPr>
    </w:p>
    <w:p w14:paraId="784718B1" w14:textId="77777777" w:rsidR="0073253A" w:rsidRPr="0073253A" w:rsidRDefault="0073253A" w:rsidP="00727DCD">
      <w:pPr>
        <w:rPr>
          <w:b/>
          <w:sz w:val="24"/>
          <w:szCs w:val="24"/>
          <w:u w:val="single"/>
        </w:rPr>
      </w:pPr>
    </w:p>
    <w:p w14:paraId="5A8B4013" w14:textId="77777777" w:rsidR="0073253A" w:rsidRPr="0073253A" w:rsidRDefault="0073253A" w:rsidP="00727DCD">
      <w:pPr>
        <w:rPr>
          <w:b/>
          <w:sz w:val="24"/>
          <w:szCs w:val="24"/>
          <w:u w:val="single"/>
        </w:rPr>
      </w:pPr>
    </w:p>
    <w:p w14:paraId="4E2BBE62" w14:textId="0A39848A" w:rsidR="00B86081" w:rsidRPr="0073253A" w:rsidRDefault="00761E47" w:rsidP="00727DCD">
      <w:pPr>
        <w:rPr>
          <w:b/>
          <w:sz w:val="24"/>
          <w:szCs w:val="24"/>
          <w:u w:val="single"/>
        </w:rPr>
      </w:pPr>
      <w:r>
        <w:rPr>
          <w:b/>
          <w:sz w:val="24"/>
          <w:szCs w:val="24"/>
        </w:rPr>
        <w:t>Task Three</w:t>
      </w:r>
      <w:r w:rsidR="00B86081" w:rsidRPr="0073253A">
        <w:rPr>
          <w:sz w:val="24"/>
          <w:szCs w:val="24"/>
        </w:rPr>
        <w:t xml:space="preserve"> </w:t>
      </w:r>
      <w:r w:rsidR="00B86081" w:rsidRPr="0073253A">
        <w:rPr>
          <w:sz w:val="24"/>
          <w:szCs w:val="24"/>
        </w:rPr>
        <w:br/>
      </w:r>
      <w:r w:rsidR="00B86081" w:rsidRPr="0073253A">
        <w:rPr>
          <w:sz w:val="24"/>
          <w:szCs w:val="24"/>
        </w:rPr>
        <w:br/>
      </w:r>
      <w:r w:rsidR="00A13F3F">
        <w:rPr>
          <w:sz w:val="24"/>
          <w:szCs w:val="24"/>
        </w:rPr>
        <w:t xml:space="preserve">A new faculty colleague has come to you seeking help on how to grade student reports. </w:t>
      </w:r>
      <w:r>
        <w:rPr>
          <w:sz w:val="24"/>
          <w:szCs w:val="24"/>
        </w:rPr>
        <w:t>Which taxonomy would you recommended to help</w:t>
      </w:r>
      <w:r w:rsidR="00A13F3F">
        <w:rPr>
          <w:sz w:val="24"/>
          <w:szCs w:val="24"/>
        </w:rPr>
        <w:t xml:space="preserve"> guide their</w:t>
      </w:r>
      <w:r>
        <w:rPr>
          <w:sz w:val="24"/>
          <w:szCs w:val="24"/>
        </w:rPr>
        <w:t xml:space="preserve"> assess</w:t>
      </w:r>
      <w:r w:rsidR="00A13F3F">
        <w:rPr>
          <w:sz w:val="24"/>
          <w:szCs w:val="24"/>
        </w:rPr>
        <w:t>ment of</w:t>
      </w:r>
      <w:r>
        <w:rPr>
          <w:sz w:val="24"/>
          <w:szCs w:val="24"/>
        </w:rPr>
        <w:t xml:space="preserve"> the quality and depth of student </w:t>
      </w:r>
      <w:r w:rsidR="00A13F3F">
        <w:rPr>
          <w:sz w:val="24"/>
          <w:szCs w:val="24"/>
        </w:rPr>
        <w:t>work</w:t>
      </w:r>
      <w:bookmarkStart w:id="0" w:name="_GoBack"/>
      <w:bookmarkEnd w:id="0"/>
      <w:r w:rsidR="00A13F3F">
        <w:rPr>
          <w:sz w:val="24"/>
          <w:szCs w:val="24"/>
        </w:rPr>
        <w:t>?</w:t>
      </w:r>
    </w:p>
    <w:p w14:paraId="7F33A7CA" w14:textId="77777777" w:rsidR="00B86081" w:rsidRPr="0073253A" w:rsidRDefault="00B86081" w:rsidP="00727DCD">
      <w:pPr>
        <w:rPr>
          <w:sz w:val="24"/>
          <w:szCs w:val="24"/>
        </w:rPr>
      </w:pPr>
    </w:p>
    <w:p w14:paraId="675976D3" w14:textId="70A156DD" w:rsidR="00761E47" w:rsidRPr="00761E47" w:rsidRDefault="00761E47" w:rsidP="00761E47">
      <w:pPr>
        <w:rPr>
          <w:sz w:val="22"/>
          <w:szCs w:val="22"/>
        </w:rPr>
      </w:pPr>
      <w:r w:rsidRPr="00761E47">
        <w:rPr>
          <w:sz w:val="22"/>
          <w:szCs w:val="22"/>
        </w:rPr>
        <w:t xml:space="preserve">Pick one and be ready to describe WHY one of the taxonomies better </w:t>
      </w:r>
      <w:r>
        <w:rPr>
          <w:sz w:val="22"/>
          <w:szCs w:val="22"/>
        </w:rPr>
        <w:t>suited to assess the</w:t>
      </w:r>
      <w:r w:rsidR="00A13F3F">
        <w:rPr>
          <w:sz w:val="22"/>
          <w:szCs w:val="22"/>
        </w:rPr>
        <w:t xml:space="preserve"> final quality of stu</w:t>
      </w:r>
      <w:r>
        <w:rPr>
          <w:sz w:val="22"/>
          <w:szCs w:val="22"/>
        </w:rPr>
        <w:t>dent work</w:t>
      </w:r>
      <w:r w:rsidRPr="00761E47">
        <w:rPr>
          <w:sz w:val="22"/>
          <w:szCs w:val="22"/>
        </w:rPr>
        <w:t>.</w:t>
      </w:r>
    </w:p>
    <w:p w14:paraId="6E306FBD" w14:textId="77777777" w:rsidR="00761E47" w:rsidRPr="00761E47" w:rsidRDefault="00761E47" w:rsidP="00761E47">
      <w:pPr>
        <w:rPr>
          <w:sz w:val="22"/>
          <w:szCs w:val="22"/>
        </w:rPr>
      </w:pPr>
    </w:p>
    <w:p w14:paraId="533BA5DD" w14:textId="77777777" w:rsidR="00761E47" w:rsidRPr="00761E47" w:rsidRDefault="00761E47" w:rsidP="00761E47">
      <w:pPr>
        <w:pStyle w:val="ListParagraph"/>
        <w:numPr>
          <w:ilvl w:val="0"/>
          <w:numId w:val="11"/>
        </w:numPr>
        <w:rPr>
          <w:sz w:val="22"/>
          <w:szCs w:val="22"/>
        </w:rPr>
      </w:pPr>
      <w:r w:rsidRPr="00761E47">
        <w:rPr>
          <w:sz w:val="22"/>
          <w:szCs w:val="22"/>
        </w:rPr>
        <w:t xml:space="preserve">Bloom’s taxonomy </w:t>
      </w:r>
    </w:p>
    <w:p w14:paraId="3256E108" w14:textId="77777777" w:rsidR="00761E47" w:rsidRPr="00761E47" w:rsidRDefault="00761E47" w:rsidP="00761E47">
      <w:pPr>
        <w:pStyle w:val="ListParagraph"/>
        <w:numPr>
          <w:ilvl w:val="0"/>
          <w:numId w:val="11"/>
        </w:numPr>
        <w:rPr>
          <w:sz w:val="22"/>
          <w:szCs w:val="22"/>
        </w:rPr>
      </w:pPr>
      <w:r w:rsidRPr="00761E47">
        <w:rPr>
          <w:sz w:val="22"/>
          <w:szCs w:val="22"/>
        </w:rPr>
        <w:t xml:space="preserve">SOLO taxonomy </w:t>
      </w:r>
    </w:p>
    <w:p w14:paraId="24222D2C" w14:textId="19658985" w:rsidR="00B86081" w:rsidRPr="0073253A" w:rsidRDefault="00B86081" w:rsidP="00761E47">
      <w:pPr>
        <w:rPr>
          <w:sz w:val="24"/>
          <w:szCs w:val="24"/>
        </w:rPr>
      </w:pPr>
    </w:p>
    <w:sectPr w:rsidR="00B86081" w:rsidRPr="0073253A" w:rsidSect="00761E47">
      <w:headerReference w:type="default" r:id="rId13"/>
      <w:pgSz w:w="12240" w:h="15840"/>
      <w:pgMar w:top="1440" w:right="1800" w:bottom="720" w:left="162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11DA" w14:textId="77777777" w:rsidR="00761E47" w:rsidRDefault="00761E47" w:rsidP="00B91095">
      <w:r>
        <w:separator/>
      </w:r>
    </w:p>
  </w:endnote>
  <w:endnote w:type="continuationSeparator" w:id="0">
    <w:p w14:paraId="07A9C01F" w14:textId="77777777" w:rsidR="00761E47" w:rsidRDefault="00761E47" w:rsidP="00B9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FA3E1" w14:textId="77777777" w:rsidR="00761E47" w:rsidRDefault="00761E47" w:rsidP="00B91095">
      <w:r>
        <w:separator/>
      </w:r>
    </w:p>
  </w:footnote>
  <w:footnote w:type="continuationSeparator" w:id="0">
    <w:p w14:paraId="6E4C7821" w14:textId="77777777" w:rsidR="00761E47" w:rsidRDefault="00761E47" w:rsidP="00B910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D999" w14:textId="5DFD1C96" w:rsidR="00761E47" w:rsidRDefault="00761E47" w:rsidP="00B91095">
    <w:pPr>
      <w:pStyle w:val="Header"/>
      <w:jc w:val="center"/>
    </w:pPr>
    <w:r>
      <w:t xml:space="preserve">TBL Institute May 2017 v0.3 </w:t>
    </w:r>
    <w:proofErr w:type="spellStart"/>
    <w:r>
      <w:t>unkeyed</w:t>
    </w:r>
    <w:proofErr w:type="spellEnd"/>
    <w:r>
      <w:t xml:space="preserve"> to IF-AT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39A"/>
    <w:multiLevelType w:val="hybridMultilevel"/>
    <w:tmpl w:val="F3083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62997"/>
    <w:multiLevelType w:val="hybridMultilevel"/>
    <w:tmpl w:val="80605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70329"/>
    <w:multiLevelType w:val="hybridMultilevel"/>
    <w:tmpl w:val="CD607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46247"/>
    <w:multiLevelType w:val="hybridMultilevel"/>
    <w:tmpl w:val="F2DCA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E0D75"/>
    <w:multiLevelType w:val="multilevel"/>
    <w:tmpl w:val="10F282B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C3105D"/>
    <w:multiLevelType w:val="hybridMultilevel"/>
    <w:tmpl w:val="2EBE7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30F59"/>
    <w:multiLevelType w:val="hybridMultilevel"/>
    <w:tmpl w:val="2EBE7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610A1"/>
    <w:multiLevelType w:val="hybridMultilevel"/>
    <w:tmpl w:val="10F282B8"/>
    <w:lvl w:ilvl="0" w:tplc="4E2EA0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92D39"/>
    <w:multiLevelType w:val="hybridMultilevel"/>
    <w:tmpl w:val="2EBE7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D10D2B"/>
    <w:multiLevelType w:val="hybridMultilevel"/>
    <w:tmpl w:val="FA38DA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913AAA"/>
    <w:multiLevelType w:val="hybridMultilevel"/>
    <w:tmpl w:val="9DE25F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0"/>
  </w:num>
  <w:num w:numId="4">
    <w:abstractNumId w:val="3"/>
  </w:num>
  <w:num w:numId="5">
    <w:abstractNumId w:val="9"/>
  </w:num>
  <w:num w:numId="6">
    <w:abstractNumId w:val="1"/>
  </w:num>
  <w:num w:numId="7">
    <w:abstractNumId w:val="7"/>
  </w:num>
  <w:num w:numId="8">
    <w:abstractNumId w:val="4"/>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BD"/>
    <w:rsid w:val="000A6B67"/>
    <w:rsid w:val="000C1CB3"/>
    <w:rsid w:val="000F4EF5"/>
    <w:rsid w:val="002C74B4"/>
    <w:rsid w:val="00412C62"/>
    <w:rsid w:val="00724956"/>
    <w:rsid w:val="00727DCD"/>
    <w:rsid w:val="0073253A"/>
    <w:rsid w:val="00761E47"/>
    <w:rsid w:val="0085226A"/>
    <w:rsid w:val="00980FBD"/>
    <w:rsid w:val="00A13F3F"/>
    <w:rsid w:val="00B86081"/>
    <w:rsid w:val="00B91095"/>
    <w:rsid w:val="00E64B9B"/>
    <w:rsid w:val="00EB03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C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6A"/>
    <w:rPr>
      <w:rFonts w:ascii="Lucida Grande" w:eastAsia="Times New Roman" w:hAnsi="Lucida Grande" w:cs="Lucida Grande"/>
      <w:sz w:val="18"/>
      <w:szCs w:val="18"/>
    </w:rPr>
  </w:style>
  <w:style w:type="paragraph" w:styleId="ListParagraph">
    <w:name w:val="List Paragraph"/>
    <w:basedOn w:val="Normal"/>
    <w:uiPriority w:val="34"/>
    <w:qFormat/>
    <w:rsid w:val="000C1CB3"/>
    <w:pPr>
      <w:ind w:left="720"/>
      <w:contextualSpacing/>
    </w:pPr>
  </w:style>
  <w:style w:type="paragraph" w:styleId="Header">
    <w:name w:val="header"/>
    <w:basedOn w:val="Normal"/>
    <w:link w:val="HeaderChar"/>
    <w:uiPriority w:val="99"/>
    <w:unhideWhenUsed/>
    <w:rsid w:val="00B91095"/>
    <w:pPr>
      <w:tabs>
        <w:tab w:val="center" w:pos="4320"/>
        <w:tab w:val="right" w:pos="8640"/>
      </w:tabs>
    </w:pPr>
  </w:style>
  <w:style w:type="character" w:customStyle="1" w:styleId="HeaderChar">
    <w:name w:val="Header Char"/>
    <w:basedOn w:val="DefaultParagraphFont"/>
    <w:link w:val="Header"/>
    <w:uiPriority w:val="99"/>
    <w:rsid w:val="00B91095"/>
    <w:rPr>
      <w:rFonts w:eastAsia="Times New Roman"/>
      <w:sz w:val="20"/>
      <w:szCs w:val="20"/>
    </w:rPr>
  </w:style>
  <w:style w:type="paragraph" w:styleId="Footer">
    <w:name w:val="footer"/>
    <w:basedOn w:val="Normal"/>
    <w:link w:val="FooterChar"/>
    <w:uiPriority w:val="99"/>
    <w:unhideWhenUsed/>
    <w:rsid w:val="00B91095"/>
    <w:pPr>
      <w:tabs>
        <w:tab w:val="center" w:pos="4320"/>
        <w:tab w:val="right" w:pos="8640"/>
      </w:tabs>
    </w:pPr>
  </w:style>
  <w:style w:type="character" w:customStyle="1" w:styleId="FooterChar">
    <w:name w:val="Footer Char"/>
    <w:basedOn w:val="DefaultParagraphFont"/>
    <w:link w:val="Footer"/>
    <w:uiPriority w:val="99"/>
    <w:rsid w:val="00B91095"/>
    <w:rPr>
      <w:rFonts w:eastAsia="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26A"/>
    <w:rPr>
      <w:rFonts w:ascii="Lucida Grande" w:eastAsia="Times New Roman" w:hAnsi="Lucida Grande" w:cs="Lucida Grande"/>
      <w:sz w:val="18"/>
      <w:szCs w:val="18"/>
    </w:rPr>
  </w:style>
  <w:style w:type="paragraph" w:styleId="ListParagraph">
    <w:name w:val="List Paragraph"/>
    <w:basedOn w:val="Normal"/>
    <w:uiPriority w:val="34"/>
    <w:qFormat/>
    <w:rsid w:val="000C1CB3"/>
    <w:pPr>
      <w:ind w:left="720"/>
      <w:contextualSpacing/>
    </w:pPr>
  </w:style>
  <w:style w:type="paragraph" w:styleId="Header">
    <w:name w:val="header"/>
    <w:basedOn w:val="Normal"/>
    <w:link w:val="HeaderChar"/>
    <w:uiPriority w:val="99"/>
    <w:unhideWhenUsed/>
    <w:rsid w:val="00B91095"/>
    <w:pPr>
      <w:tabs>
        <w:tab w:val="center" w:pos="4320"/>
        <w:tab w:val="right" w:pos="8640"/>
      </w:tabs>
    </w:pPr>
  </w:style>
  <w:style w:type="character" w:customStyle="1" w:styleId="HeaderChar">
    <w:name w:val="Header Char"/>
    <w:basedOn w:val="DefaultParagraphFont"/>
    <w:link w:val="Header"/>
    <w:uiPriority w:val="99"/>
    <w:rsid w:val="00B91095"/>
    <w:rPr>
      <w:rFonts w:eastAsia="Times New Roman"/>
      <w:sz w:val="20"/>
      <w:szCs w:val="20"/>
    </w:rPr>
  </w:style>
  <w:style w:type="paragraph" w:styleId="Footer">
    <w:name w:val="footer"/>
    <w:basedOn w:val="Normal"/>
    <w:link w:val="FooterChar"/>
    <w:uiPriority w:val="99"/>
    <w:unhideWhenUsed/>
    <w:rsid w:val="00B91095"/>
    <w:pPr>
      <w:tabs>
        <w:tab w:val="center" w:pos="4320"/>
        <w:tab w:val="right" w:pos="8640"/>
      </w:tabs>
    </w:pPr>
  </w:style>
  <w:style w:type="character" w:customStyle="1" w:styleId="FooterChar">
    <w:name w:val="Footer Char"/>
    <w:basedOn w:val="DefaultParagraphFont"/>
    <w:link w:val="Footer"/>
    <w:uiPriority w:val="99"/>
    <w:rsid w:val="00B91095"/>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microsoft.com/office/2007/relationships/hdphoto" Target="media/hdphoto2.wdp"/><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672</Words>
  <Characters>3833</Characters>
  <Application>Microsoft Macintosh Word</Application>
  <DocSecurity>0</DocSecurity>
  <Lines>31</Lines>
  <Paragraphs>8</Paragraphs>
  <ScaleCrop>false</ScaleCrop>
  <Company>UBC</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Sibley</dc:creator>
  <cp:keywords/>
  <dc:description/>
  <cp:lastModifiedBy>James Sibley</cp:lastModifiedBy>
  <cp:revision>2</cp:revision>
  <dcterms:created xsi:type="dcterms:W3CDTF">2017-04-20T17:06:00Z</dcterms:created>
  <dcterms:modified xsi:type="dcterms:W3CDTF">2017-04-20T17:06:00Z</dcterms:modified>
</cp:coreProperties>
</file>